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yellow"/>
          <w:lang w:eastAsia="zh-CN"/>
        </w:rPr>
        <w:t>永吉县档案馆</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eastAsia="zh-CN"/>
        </w:rPr>
        <w:t>永吉县档案馆</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2F96DD6D">
      <w:pPr>
        <w:jc w:val="left"/>
        <w:rPr>
          <w:rFonts w:ascii="仿宋" w:hAnsi="仿宋" w:eastAsia="仿宋"/>
          <w:sz w:val="32"/>
          <w:szCs w:val="32"/>
        </w:rPr>
      </w:pPr>
      <w:r>
        <w:rPr>
          <w:rFonts w:hint="eastAsia" w:ascii="仿宋" w:hAnsi="仿宋" w:eastAsia="仿宋"/>
          <w:sz w:val="32"/>
          <w:szCs w:val="32"/>
        </w:rPr>
        <w:t xml:space="preserve">   一、主要职能</w:t>
      </w:r>
    </w:p>
    <w:p w14:paraId="66C6654E">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名称：永吉县档案馆</w:t>
      </w:r>
    </w:p>
    <w:p w14:paraId="5DB39056">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：参照公务员法管理事业单位</w:t>
      </w:r>
    </w:p>
    <w:p w14:paraId="1027E79A">
      <w:pPr>
        <w:spacing w:line="500" w:lineRule="exact"/>
        <w:ind w:firstLine="640" w:firstLineChars="200"/>
        <w:rPr>
          <w:rFonts w:ascii="仿宋_GB2312" w:hAnsi="仿宋_GB2312" w:eastAsia="仿宋_GB2312" w:cs="仿宋_GB2312"/>
          <w:sz w:val="32"/>
          <w:szCs w:val="32"/>
        </w:rPr>
      </w:pPr>
      <w:r>
        <w:rPr>
          <w:rFonts w:hint="eastAsia" w:ascii="仿宋" w:hAnsi="仿宋" w:eastAsia="仿宋"/>
          <w:bCs/>
          <w:kern w:val="0"/>
          <w:sz w:val="32"/>
          <w:szCs w:val="32"/>
        </w:rPr>
        <w:t>主要职能：</w:t>
      </w:r>
      <w:r>
        <w:rPr>
          <w:rFonts w:hint="eastAsia" w:ascii="仿宋_GB2312" w:hAnsi="仿宋_GB2312" w:eastAsia="仿宋_GB2312" w:cs="仿宋_GB2312"/>
          <w:sz w:val="32"/>
          <w:szCs w:val="32"/>
        </w:rPr>
        <w:t>县档案馆工作职责：</w:t>
      </w:r>
      <w:r>
        <w:rPr>
          <w:rFonts w:hint="eastAsia" w:ascii="仿宋_GB2312" w:eastAsia="仿宋_GB2312" w:cs="仿宋_GB2312"/>
          <w:kern w:val="0"/>
          <w:sz w:val="32"/>
          <w:szCs w:val="32"/>
        </w:rPr>
        <w:t>负责制定档案接收范围和标准；</w:t>
      </w:r>
      <w:r>
        <w:rPr>
          <w:rFonts w:hint="eastAsia" w:ascii="仿宋_GB2312" w:eastAsia="仿宋_GB2312" w:cs="仿宋_GB2312"/>
          <w:sz w:val="32"/>
          <w:szCs w:val="32"/>
        </w:rPr>
        <w:t>负责各类档案和资料接收</w:t>
      </w:r>
      <w:r>
        <w:rPr>
          <w:rFonts w:hint="eastAsia" w:ascii="仿宋_GB2312" w:eastAsia="仿宋_GB2312" w:cs="仿宋_GB2312"/>
          <w:kern w:val="0"/>
          <w:sz w:val="32"/>
          <w:szCs w:val="32"/>
        </w:rPr>
        <w:t>、整理、保管及库房管理、库房安全、档案查阅利用服务工作；负责政府公开信息的接收、整理、查阅服务工作；负责馆藏档案开放鉴定工作；负责组织开展馆藏涉密档案解密工作；负责全县重大活动、重大事件、重大项目及突发事件的档案接收进馆工作；负责制定社会教育工作计划并组织实施；负责馆藏档案展览制作与维护工作；负责教育基地管理和利用工作；负责制定本馆档案保护技术规范和标准并组织实施；负责制定馆藏档案数字化工作计划、管理规范并组织实施，负责馆藏各类档案的数字化和质检工作，负责电子档案数据接收、管理、统计、备份、安全工作，负责本馆数字档案馆建设；负责馆藏破损档案的抢救、修复及档案的保护工作。</w:t>
      </w:r>
    </w:p>
    <w:p w14:paraId="44645525">
      <w:pPr>
        <w:spacing w:line="500" w:lineRule="exact"/>
        <w:ind w:firstLine="640" w:firstLineChars="200"/>
        <w:rPr>
          <w:rFonts w:ascii="仿宋_GB2312" w:eastAsia="仿宋_GB2312"/>
          <w:sz w:val="32"/>
          <w:szCs w:val="32"/>
        </w:rPr>
      </w:pPr>
      <w:r>
        <w:rPr>
          <w:rFonts w:hint="eastAsia" w:ascii="仿宋_GB2312" w:hAnsi="仿宋_GB2312" w:eastAsia="仿宋_GB2312" w:cs="仿宋_GB2312"/>
          <w:color w:val="000000"/>
          <w:kern w:val="0"/>
          <w:sz w:val="32"/>
          <w:szCs w:val="32"/>
        </w:rPr>
        <w:t>县地方志办公室工作职责：组织、指导、督促和检查地方志工作；拟定地方志工作规划和编纂方案；组织编纂地方志书、地方综合年鉴；</w:t>
      </w:r>
      <w:r>
        <w:rPr>
          <w:rFonts w:hint="eastAsia" w:ascii="仿宋_GB2312" w:hAnsi="仿宋_GB2312" w:eastAsia="仿宋_GB2312" w:cs="仿宋_GB2312"/>
          <w:sz w:val="32"/>
          <w:szCs w:val="32"/>
        </w:rPr>
        <w:t>负责</w:t>
      </w:r>
      <w:r>
        <w:rPr>
          <w:rFonts w:hint="eastAsia" w:ascii="仿宋_GB2312" w:hAnsi="仿宋_GB2312" w:eastAsia="仿宋_GB2312" w:cs="仿宋_GB2312"/>
          <w:color w:val="000000"/>
          <w:kern w:val="0"/>
          <w:sz w:val="32"/>
          <w:szCs w:val="32"/>
        </w:rPr>
        <w:t>搜集、</w:t>
      </w:r>
      <w:r>
        <w:rPr>
          <w:rFonts w:hint="eastAsia" w:ascii="仿宋_GB2312" w:hAnsi="仿宋_GB2312" w:eastAsia="仿宋_GB2312" w:cs="仿宋_GB2312"/>
          <w:sz w:val="32"/>
          <w:szCs w:val="32"/>
        </w:rPr>
        <w:t>征集、整理、交流、保存地方志文献和资料</w:t>
      </w:r>
      <w:r>
        <w:rPr>
          <w:rFonts w:hint="eastAsia" w:ascii="仿宋_GB2312" w:hAnsi="仿宋_GB2312" w:eastAsia="仿宋_GB2312" w:cs="仿宋_GB2312"/>
          <w:color w:val="000000"/>
          <w:kern w:val="0"/>
          <w:sz w:val="32"/>
          <w:szCs w:val="32"/>
        </w:rPr>
        <w:t>，组织整理旧志，推动方志理论研究；组织开发利用地方志资源；</w:t>
      </w:r>
      <w:r>
        <w:rPr>
          <w:rFonts w:hint="eastAsia" w:ascii="仿宋_GB2312" w:hAnsi="仿宋_GB2312" w:eastAsia="仿宋_GB2312" w:cs="仿宋_GB2312"/>
          <w:sz w:val="32"/>
          <w:szCs w:val="32"/>
        </w:rPr>
        <w:t>组织培训域内地方志专兼职工作人员。</w:t>
      </w:r>
    </w:p>
    <w:p w14:paraId="4678BFC8">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档案的收集、管理、利用，地方志的规划和编纂。</w:t>
      </w:r>
    </w:p>
    <w:p w14:paraId="25A0D139">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DA44F70">
      <w:pPr>
        <w:pStyle w:val="12"/>
        <w:ind w:firstLine="627" w:firstLineChars="196"/>
        <w:rPr>
          <w:rFonts w:ascii="仿宋" w:hAnsi="仿宋" w:eastAsia="仿宋"/>
          <w:kern w:val="0"/>
          <w:szCs w:val="32"/>
        </w:rPr>
      </w:pPr>
      <w:r>
        <w:rPr>
          <w:rFonts w:hint="eastAsia" w:ascii="仿宋" w:hAnsi="仿宋" w:eastAsia="仿宋"/>
          <w:kern w:val="0"/>
          <w:szCs w:val="32"/>
        </w:rPr>
        <w:t>机构设置包括：</w:t>
      </w:r>
      <w:r>
        <w:rPr>
          <w:rFonts w:hint="eastAsia" w:ascii="仿宋_GB2312"/>
          <w:szCs w:val="32"/>
        </w:rPr>
        <w:t>本部门</w:t>
      </w:r>
      <w:r>
        <w:rPr>
          <w:rFonts w:hint="eastAsia" w:ascii="仿宋_GB2312" w:cs="仿宋_GB2312"/>
          <w:kern w:val="0"/>
          <w:szCs w:val="32"/>
        </w:rPr>
        <w:t>内设机构3个，分别是综合科（办公室）、管理科、编研科（县地方志办公室）。</w:t>
      </w:r>
      <w:r>
        <w:rPr>
          <w:rFonts w:hint="eastAsia" w:ascii="仿宋" w:hAnsi="仿宋" w:eastAsia="仿宋"/>
          <w:kern w:val="0"/>
          <w:szCs w:val="32"/>
        </w:rPr>
        <w:t>人员情况：编制11人，实有在职人员</w:t>
      </w:r>
      <w:r>
        <w:rPr>
          <w:rFonts w:hint="eastAsia" w:ascii="仿宋" w:hAnsi="仿宋" w:eastAsia="仿宋"/>
          <w:kern w:val="0"/>
          <w:szCs w:val="32"/>
          <w:lang w:val="en-US" w:eastAsia="zh-CN"/>
        </w:rPr>
        <w:t>11</w:t>
      </w:r>
      <w:r>
        <w:rPr>
          <w:rFonts w:hint="eastAsia" w:ascii="仿宋" w:hAnsi="仿宋" w:eastAsia="仿宋"/>
          <w:kern w:val="0"/>
          <w:szCs w:val="32"/>
        </w:rPr>
        <w:t>人，领导职数2人。</w:t>
      </w:r>
    </w:p>
    <w:p w14:paraId="546B2C04">
      <w:pPr>
        <w:jc w:val="center"/>
        <w:rPr>
          <w:rFonts w:hint="eastAsia" w:ascii="黑体" w:hAnsi="黑体" w:eastAsia="黑体"/>
          <w:sz w:val="32"/>
          <w:szCs w:val="32"/>
        </w:rPr>
      </w:pPr>
      <w:r>
        <w:rPr>
          <w:rFonts w:hint="eastAsia" w:ascii="仿宋" w:hAnsi="仿宋" w:eastAsia="仿宋"/>
          <w:sz w:val="32"/>
          <w:szCs w:val="32"/>
        </w:rPr>
        <w:t xml:space="preserve"> </w:t>
      </w: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184.61</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157.16</w:t>
      </w:r>
      <w:r>
        <w:rPr>
          <w:rFonts w:hint="eastAsia" w:ascii="仿宋" w:hAnsi="仿宋" w:eastAsia="仿宋"/>
          <w:sz w:val="32"/>
          <w:szCs w:val="32"/>
        </w:rPr>
        <w:t xml:space="preserve"> 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27.45</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2024年预算数不包括编外人员支出，同时2025年在职人员满编从而增加3人，增加人员经费支出</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184.61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184.61</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184.61</w:t>
      </w:r>
      <w:r>
        <w:rPr>
          <w:rFonts w:hint="eastAsia" w:ascii="仿宋" w:hAnsi="仿宋" w:eastAsia="仿宋"/>
          <w:sz w:val="32"/>
          <w:szCs w:val="32"/>
        </w:rPr>
        <w:t>万元，其中：基本支出</w:t>
      </w:r>
      <w:r>
        <w:rPr>
          <w:rFonts w:hint="eastAsia" w:ascii="仿宋" w:hAnsi="仿宋" w:eastAsia="仿宋"/>
          <w:sz w:val="32"/>
          <w:szCs w:val="32"/>
          <w:lang w:val="en-US" w:eastAsia="zh-CN"/>
        </w:rPr>
        <w:t>163.29</w:t>
      </w:r>
      <w:r>
        <w:rPr>
          <w:rFonts w:hint="eastAsia" w:ascii="仿宋" w:hAnsi="仿宋" w:eastAsia="仿宋"/>
          <w:sz w:val="32"/>
          <w:szCs w:val="32"/>
        </w:rPr>
        <w:t xml:space="preserve"> 万元，占</w:t>
      </w:r>
      <w:r>
        <w:rPr>
          <w:rFonts w:hint="eastAsia" w:ascii="仿宋" w:hAnsi="仿宋" w:eastAsia="仿宋"/>
          <w:sz w:val="32"/>
          <w:szCs w:val="32"/>
          <w:lang w:val="en-US" w:eastAsia="zh-CN"/>
        </w:rPr>
        <w:t>88.45</w:t>
      </w:r>
      <w:r>
        <w:rPr>
          <w:rFonts w:hint="eastAsia" w:ascii="仿宋" w:hAnsi="仿宋" w:eastAsia="仿宋"/>
          <w:sz w:val="32"/>
          <w:szCs w:val="32"/>
        </w:rPr>
        <w:t xml:space="preserve">%；项目支出 </w:t>
      </w:r>
      <w:r>
        <w:rPr>
          <w:rFonts w:hint="eastAsia" w:ascii="仿宋" w:hAnsi="仿宋" w:eastAsia="仿宋"/>
          <w:sz w:val="32"/>
          <w:szCs w:val="32"/>
          <w:lang w:val="en-US" w:eastAsia="zh-CN"/>
        </w:rPr>
        <w:t>21.32</w:t>
      </w:r>
      <w:r>
        <w:rPr>
          <w:rFonts w:hint="eastAsia" w:ascii="仿宋" w:hAnsi="仿宋" w:eastAsia="仿宋"/>
          <w:sz w:val="32"/>
          <w:szCs w:val="32"/>
        </w:rPr>
        <w:t>万元，占</w:t>
      </w:r>
      <w:r>
        <w:rPr>
          <w:rFonts w:hint="eastAsia" w:ascii="仿宋" w:hAnsi="仿宋" w:eastAsia="仿宋"/>
          <w:sz w:val="32"/>
          <w:szCs w:val="32"/>
          <w:lang w:val="en-US" w:eastAsia="zh-CN"/>
        </w:rPr>
        <w:t>11.55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184.61</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184.61</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184.61</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162.46</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12.33</w:t>
      </w:r>
      <w:r>
        <w:rPr>
          <w:rFonts w:hint="eastAsia" w:ascii="仿宋" w:hAnsi="仿宋" w:eastAsia="仿宋"/>
          <w:sz w:val="32"/>
          <w:szCs w:val="32"/>
        </w:rPr>
        <w:t>万元，住房保障支出</w:t>
      </w:r>
      <w:r>
        <w:rPr>
          <w:rFonts w:hint="eastAsia" w:ascii="仿宋" w:hAnsi="仿宋" w:eastAsia="仿宋"/>
          <w:sz w:val="32"/>
          <w:szCs w:val="32"/>
          <w:lang w:val="en-US" w:eastAsia="zh-CN"/>
        </w:rPr>
        <w:t>9.82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162.46</w:t>
      </w:r>
      <w:r>
        <w:rPr>
          <w:rFonts w:hint="eastAsia" w:ascii="仿宋" w:hAnsi="仿宋" w:eastAsia="仿宋"/>
          <w:sz w:val="32"/>
          <w:szCs w:val="32"/>
        </w:rPr>
        <w:t>万元，其中：基本支出</w:t>
      </w:r>
      <w:r>
        <w:rPr>
          <w:rFonts w:hint="eastAsia" w:ascii="仿宋" w:hAnsi="仿宋" w:eastAsia="仿宋"/>
          <w:sz w:val="32"/>
          <w:szCs w:val="32"/>
          <w:lang w:val="en-US" w:eastAsia="zh-CN"/>
        </w:rPr>
        <w:t>141.14</w:t>
      </w:r>
      <w:r>
        <w:rPr>
          <w:rFonts w:hint="eastAsia" w:ascii="仿宋" w:hAnsi="仿宋" w:eastAsia="仿宋"/>
          <w:sz w:val="32"/>
          <w:szCs w:val="32"/>
        </w:rPr>
        <w:t>万元，占</w:t>
      </w:r>
      <w:r>
        <w:rPr>
          <w:rFonts w:hint="eastAsia" w:ascii="仿宋" w:hAnsi="仿宋" w:eastAsia="仿宋"/>
          <w:sz w:val="32"/>
          <w:szCs w:val="32"/>
          <w:lang w:val="en-US" w:eastAsia="zh-CN"/>
        </w:rPr>
        <w:t>86.88</w:t>
      </w:r>
      <w:r>
        <w:rPr>
          <w:rFonts w:hint="eastAsia" w:ascii="仿宋" w:hAnsi="仿宋" w:eastAsia="仿宋"/>
          <w:sz w:val="32"/>
          <w:szCs w:val="32"/>
        </w:rPr>
        <w:t>%；项目支出</w:t>
      </w:r>
      <w:r>
        <w:rPr>
          <w:rFonts w:hint="eastAsia" w:ascii="仿宋" w:hAnsi="仿宋" w:eastAsia="仿宋"/>
          <w:sz w:val="32"/>
          <w:szCs w:val="32"/>
          <w:lang w:val="en-US" w:eastAsia="zh-CN"/>
        </w:rPr>
        <w:t>21.32</w:t>
      </w:r>
      <w:r>
        <w:rPr>
          <w:rFonts w:hint="eastAsia" w:ascii="仿宋" w:hAnsi="仿宋" w:eastAsia="仿宋"/>
          <w:sz w:val="32"/>
          <w:szCs w:val="32"/>
        </w:rPr>
        <w:t>万元，占</w:t>
      </w:r>
      <w:r>
        <w:rPr>
          <w:rFonts w:hint="eastAsia" w:ascii="仿宋" w:hAnsi="仿宋" w:eastAsia="仿宋"/>
          <w:sz w:val="32"/>
          <w:szCs w:val="32"/>
          <w:lang w:val="en-US" w:eastAsia="zh-CN"/>
        </w:rPr>
        <w:t>13.12</w:t>
      </w:r>
      <w:r>
        <w:rPr>
          <w:rFonts w:hint="eastAsia" w:ascii="仿宋" w:hAnsi="仿宋" w:eastAsia="仿宋"/>
          <w:sz w:val="32"/>
          <w:szCs w:val="32"/>
        </w:rPr>
        <w:t>%。基本支出中，人员经费</w:t>
      </w:r>
      <w:r>
        <w:rPr>
          <w:rFonts w:hint="eastAsia" w:ascii="仿宋" w:hAnsi="仿宋" w:eastAsia="仿宋"/>
          <w:sz w:val="32"/>
          <w:szCs w:val="32"/>
          <w:lang w:val="en-US" w:eastAsia="zh-CN"/>
        </w:rPr>
        <w:t>85.32</w:t>
      </w:r>
      <w:r>
        <w:rPr>
          <w:rFonts w:hint="eastAsia" w:ascii="仿宋" w:hAnsi="仿宋" w:eastAsia="仿宋"/>
          <w:sz w:val="32"/>
          <w:szCs w:val="32"/>
        </w:rPr>
        <w:t>万元，占</w:t>
      </w:r>
      <w:r>
        <w:rPr>
          <w:rFonts w:hint="eastAsia" w:ascii="仿宋" w:hAnsi="仿宋" w:eastAsia="仿宋"/>
          <w:sz w:val="32"/>
          <w:szCs w:val="32"/>
          <w:lang w:val="en-US" w:eastAsia="zh-CN"/>
        </w:rPr>
        <w:t>60.45</w:t>
      </w:r>
      <w:r>
        <w:rPr>
          <w:rFonts w:hint="eastAsia" w:ascii="仿宋" w:hAnsi="仿宋" w:eastAsia="仿宋"/>
          <w:sz w:val="32"/>
          <w:szCs w:val="32"/>
        </w:rPr>
        <w:t>%；公用经费</w:t>
      </w:r>
      <w:r>
        <w:rPr>
          <w:rFonts w:hint="eastAsia" w:ascii="仿宋" w:hAnsi="仿宋" w:eastAsia="仿宋"/>
          <w:sz w:val="32"/>
          <w:szCs w:val="32"/>
          <w:lang w:val="en-US" w:eastAsia="zh-CN"/>
        </w:rPr>
        <w:t>55.82</w:t>
      </w:r>
      <w:r>
        <w:rPr>
          <w:rFonts w:hint="eastAsia" w:ascii="仿宋" w:hAnsi="仿宋" w:eastAsia="仿宋"/>
          <w:sz w:val="32"/>
          <w:szCs w:val="32"/>
        </w:rPr>
        <w:t>万元，占</w:t>
      </w:r>
      <w:r>
        <w:rPr>
          <w:rFonts w:hint="eastAsia" w:ascii="仿宋" w:hAnsi="仿宋" w:eastAsia="仿宋"/>
          <w:sz w:val="32"/>
          <w:szCs w:val="32"/>
          <w:lang w:val="en-US" w:eastAsia="zh-CN"/>
        </w:rPr>
        <w:t>39.55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140.31</w:t>
      </w:r>
      <w:r>
        <w:rPr>
          <w:rFonts w:hint="eastAsia" w:ascii="仿宋" w:hAnsi="仿宋" w:eastAsia="仿宋"/>
          <w:sz w:val="32"/>
          <w:szCs w:val="32"/>
        </w:rPr>
        <w:t xml:space="preserve"> 万元，占</w:t>
      </w:r>
      <w:r>
        <w:rPr>
          <w:rFonts w:hint="eastAsia" w:ascii="仿宋" w:hAnsi="仿宋" w:eastAsia="仿宋"/>
          <w:sz w:val="32"/>
          <w:szCs w:val="32"/>
          <w:lang w:val="en-US" w:eastAsia="zh-CN"/>
        </w:rPr>
        <w:t>86.37</w:t>
      </w:r>
      <w:r>
        <w:rPr>
          <w:rFonts w:hint="eastAsia" w:ascii="仿宋" w:hAnsi="仿宋" w:eastAsia="仿宋"/>
          <w:sz w:val="32"/>
          <w:szCs w:val="32"/>
        </w:rPr>
        <w:t>%，主要用于：</w:t>
      </w:r>
      <w:r>
        <w:rPr>
          <w:rFonts w:hint="eastAsia" w:ascii="仿宋" w:hAnsi="仿宋" w:eastAsia="仿宋"/>
          <w:sz w:val="32"/>
          <w:szCs w:val="32"/>
          <w:lang w:eastAsia="zh-CN"/>
        </w:rPr>
        <w:t>工</w:t>
      </w:r>
      <w:r>
        <w:rPr>
          <w:rFonts w:hint="eastAsia" w:ascii="仿宋" w:hAnsi="仿宋" w:eastAsia="仿宋"/>
          <w:sz w:val="32"/>
          <w:szCs w:val="32"/>
        </w:rPr>
        <w:t>资</w:t>
      </w:r>
      <w:r>
        <w:rPr>
          <w:rFonts w:hint="eastAsia" w:ascii="仿宋" w:hAnsi="仿宋" w:eastAsia="仿宋"/>
          <w:sz w:val="32"/>
          <w:szCs w:val="32"/>
          <w:lang w:eastAsia="zh-CN"/>
        </w:rPr>
        <w:t>奖</w:t>
      </w:r>
      <w:r>
        <w:rPr>
          <w:rFonts w:hint="eastAsia" w:ascii="仿宋" w:hAnsi="仿宋" w:eastAsia="仿宋"/>
          <w:sz w:val="32"/>
          <w:szCs w:val="32"/>
        </w:rPr>
        <w:t>金津补贴、办公经费、维修（护）费、其他商品和服务支出等。。</w:t>
      </w:r>
    </w:p>
    <w:p w14:paraId="43E0EACC">
      <w:pPr>
        <w:ind w:firstLine="640" w:firstLineChars="200"/>
        <w:rPr>
          <w:rFonts w:hint="eastAsia"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12.33</w:t>
      </w:r>
      <w:r>
        <w:rPr>
          <w:rFonts w:hint="eastAsia" w:ascii="仿宋" w:hAnsi="仿宋" w:eastAsia="仿宋"/>
          <w:sz w:val="32"/>
          <w:szCs w:val="32"/>
        </w:rPr>
        <w:t xml:space="preserve"> 万元，占</w:t>
      </w:r>
      <w:r>
        <w:rPr>
          <w:rFonts w:hint="eastAsia" w:ascii="仿宋" w:hAnsi="仿宋" w:eastAsia="仿宋"/>
          <w:sz w:val="32"/>
          <w:szCs w:val="32"/>
          <w:lang w:val="en-US" w:eastAsia="zh-CN"/>
        </w:rPr>
        <w:t>7.59</w:t>
      </w:r>
      <w:r>
        <w:rPr>
          <w:rFonts w:hint="eastAsia" w:ascii="仿宋" w:hAnsi="仿宋" w:eastAsia="仿宋"/>
          <w:sz w:val="32"/>
          <w:szCs w:val="32"/>
        </w:rPr>
        <w:t>%，主要用于：职工养老保险、职业年金、及其它社会保障支出等。</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9.82</w:t>
      </w:r>
      <w:r>
        <w:rPr>
          <w:rFonts w:hint="eastAsia" w:ascii="仿宋" w:hAnsi="仿宋" w:eastAsia="仿宋"/>
          <w:sz w:val="32"/>
          <w:szCs w:val="32"/>
        </w:rPr>
        <w:t xml:space="preserve"> 万元，</w:t>
      </w:r>
      <w:bookmarkStart w:id="0" w:name="_GoBack"/>
      <w:bookmarkEnd w:id="0"/>
      <w:r>
        <w:rPr>
          <w:rFonts w:hint="eastAsia" w:ascii="仿宋" w:hAnsi="仿宋" w:eastAsia="仿宋"/>
          <w:sz w:val="32"/>
          <w:szCs w:val="32"/>
        </w:rPr>
        <w:t>占</w:t>
      </w:r>
      <w:r>
        <w:rPr>
          <w:rFonts w:hint="eastAsia" w:ascii="仿宋" w:hAnsi="仿宋" w:eastAsia="仿宋"/>
          <w:sz w:val="32"/>
          <w:szCs w:val="32"/>
          <w:lang w:val="en-US" w:eastAsia="zh-CN"/>
        </w:rPr>
        <w:t>6.04</w:t>
      </w:r>
      <w:r>
        <w:rPr>
          <w:rFonts w:hint="eastAsia" w:ascii="仿宋" w:hAnsi="仿宋" w:eastAsia="仿宋"/>
          <w:sz w:val="32"/>
          <w:szCs w:val="32"/>
        </w:rPr>
        <w:t>%，主要用于：</w:t>
      </w:r>
      <w:r>
        <w:rPr>
          <w:rFonts w:hint="eastAsia" w:ascii="仿宋" w:hAnsi="仿宋" w:eastAsia="仿宋"/>
          <w:sz w:val="32"/>
          <w:szCs w:val="32"/>
          <w:lang w:eastAsia="zh-CN"/>
        </w:rPr>
        <w:t>职工住房公积金</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163.29</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107.47</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55.82</w:t>
      </w:r>
      <w:r>
        <w:rPr>
          <w:rFonts w:hint="eastAsia" w:ascii="仿宋" w:hAnsi="仿宋" w:eastAsia="仿宋"/>
          <w:sz w:val="32"/>
          <w:szCs w:val="32"/>
        </w:rPr>
        <w:t>万元，主要包括：办公费、印刷费、电费、邮电费、取暖费、</w:t>
      </w:r>
      <w:r>
        <w:rPr>
          <w:rFonts w:hint="eastAsia" w:ascii="仿宋" w:hAnsi="仿宋" w:eastAsia="仿宋"/>
          <w:sz w:val="32"/>
          <w:szCs w:val="32"/>
          <w:lang w:eastAsia="zh-CN"/>
        </w:rPr>
        <w:t>物业费、</w:t>
      </w:r>
      <w:r>
        <w:rPr>
          <w:rFonts w:hint="eastAsia" w:ascii="仿宋" w:hAnsi="仿宋" w:eastAsia="仿宋"/>
          <w:sz w:val="32"/>
          <w:szCs w:val="32"/>
        </w:rPr>
        <w:t>差旅费、工会经费等。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 xx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55.82</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减少0.74</w:t>
      </w:r>
      <w:r>
        <w:rPr>
          <w:rFonts w:hint="eastAsia" w:ascii="仿宋" w:hAnsi="仿宋" w:eastAsia="仿宋"/>
          <w:sz w:val="32"/>
          <w:szCs w:val="32"/>
        </w:rPr>
        <w:t xml:space="preserve"> 万元，</w:t>
      </w:r>
      <w:r>
        <w:rPr>
          <w:rFonts w:hint="eastAsia" w:ascii="仿宋" w:hAnsi="仿宋" w:eastAsia="仿宋"/>
          <w:sz w:val="32"/>
          <w:szCs w:val="32"/>
          <w:lang w:val="en-US" w:eastAsia="zh-CN"/>
        </w:rPr>
        <w:t>下降1.31</w:t>
      </w:r>
      <w:r>
        <w:rPr>
          <w:rFonts w:hint="eastAsia" w:ascii="仿宋" w:hAnsi="仿宋" w:eastAsia="仿宋"/>
          <w:sz w:val="32"/>
          <w:szCs w:val="32"/>
        </w:rPr>
        <w:t>%，主要原因是</w:t>
      </w:r>
      <w:r>
        <w:rPr>
          <w:rFonts w:hint="eastAsia" w:ascii="仿宋" w:hAnsi="仿宋" w:eastAsia="仿宋"/>
          <w:sz w:val="32"/>
          <w:szCs w:val="32"/>
          <w:lang w:eastAsia="zh-CN"/>
        </w:rPr>
        <w:t>各项办公费用压缩</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 xml:space="preserve">年1月，部门本级和所属各预算单位共有车辆*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0</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21.32</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0F8964FE"/>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5B602B1"/>
    <w:rsid w:val="26DC2BFA"/>
    <w:rsid w:val="27063D31"/>
    <w:rsid w:val="27742DDB"/>
    <w:rsid w:val="27747EDE"/>
    <w:rsid w:val="277B13CF"/>
    <w:rsid w:val="285B5D80"/>
    <w:rsid w:val="28753BF0"/>
    <w:rsid w:val="28AA47B7"/>
    <w:rsid w:val="28CB641B"/>
    <w:rsid w:val="29207EE3"/>
    <w:rsid w:val="2AC832F5"/>
    <w:rsid w:val="2D742D12"/>
    <w:rsid w:val="2E3342C6"/>
    <w:rsid w:val="33196C7E"/>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9B4F80"/>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7722D48"/>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93B229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3069</Words>
  <Characters>3369</Characters>
  <Lines>22</Lines>
  <Paragraphs>6</Paragraphs>
  <TotalTime>66</TotalTime>
  <ScaleCrop>false</ScaleCrop>
  <LinksUpToDate>false</LinksUpToDate>
  <CharactersWithSpaces>3499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2025-04-07T02:52:13Z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eyJoZGlkIjoiNzQyZTBkYmVhZjM2ODI1MWM0NDk1NjYxY2MxYmE5M2UifQ==</vt:lpwstr>
  </property>
</Properties>
</file>