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hint="eastAsia" w:ascii="黑体" w:hAnsi="黑体" w:eastAsia="黑体"/>
          <w:sz w:val="52"/>
          <w:szCs w:val="52"/>
          <w:lang w:eastAsia="zh-CN"/>
        </w:rPr>
      </w:pPr>
      <w:r>
        <w:rPr>
          <w:rFonts w:hint="eastAsia" w:ascii="黑体" w:hAnsi="黑体" w:eastAsia="黑体"/>
          <w:sz w:val="52"/>
          <w:szCs w:val="52"/>
          <w:lang w:eastAsia="zh-CN"/>
        </w:rPr>
        <w:t>中国人民政治协商会议</w:t>
      </w:r>
    </w:p>
    <w:p>
      <w:pPr>
        <w:jc w:val="center"/>
        <w:rPr>
          <w:rFonts w:hint="eastAsia" w:ascii="黑体" w:hAnsi="黑体" w:eastAsia="黑体"/>
          <w:sz w:val="52"/>
          <w:szCs w:val="52"/>
          <w:lang w:eastAsia="zh-CN"/>
        </w:rPr>
      </w:pPr>
      <w:r>
        <w:rPr>
          <w:rFonts w:hint="eastAsia" w:ascii="黑体" w:hAnsi="黑体" w:eastAsia="黑体"/>
          <w:sz w:val="52"/>
          <w:szCs w:val="52"/>
          <w:lang w:eastAsia="zh-CN"/>
        </w:rPr>
        <w:t>吉林省永吉县委员会办公室</w:t>
      </w:r>
    </w:p>
    <w:p>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bookmarkStart w:id="0" w:name="_GoBack"/>
      <w:bookmarkEnd w:id="0"/>
    </w:p>
    <w:p>
      <w:pPr>
        <w:jc w:val="center"/>
        <w:rPr>
          <w:rFonts w:ascii="黑体" w:hAnsi="黑体" w:eastAsia="黑体"/>
          <w:sz w:val="44"/>
          <w:szCs w:val="44"/>
        </w:rPr>
      </w:pPr>
    </w:p>
    <w:p>
      <w:pPr>
        <w:jc w:val="center"/>
        <w:rPr>
          <w:rFonts w:hint="eastAsia" w:ascii="黑体" w:hAnsi="黑体" w:eastAsia="黑体"/>
          <w:sz w:val="44"/>
          <w:szCs w:val="44"/>
          <w:lang w:eastAsia="zh-CN"/>
        </w:rPr>
      </w:pPr>
      <w:r>
        <w:rPr>
          <w:rFonts w:hint="eastAsia" w:ascii="黑体" w:hAnsi="黑体" w:eastAsia="黑体"/>
          <w:sz w:val="44"/>
          <w:szCs w:val="44"/>
          <w:lang w:eastAsia="zh-CN"/>
        </w:rPr>
        <w:t>二〇二五年一月三日</w:t>
      </w:r>
    </w:p>
    <w:p>
      <w:pPr>
        <w:jc w:val="center"/>
        <w:rPr>
          <w:rFonts w:ascii="黑体" w:hAnsi="黑体" w:eastAsia="黑体"/>
          <w:sz w:val="44"/>
          <w:szCs w:val="44"/>
        </w:rPr>
      </w:pPr>
    </w:p>
    <w:p>
      <w:pPr>
        <w:tabs>
          <w:tab w:val="left" w:pos="3240"/>
        </w:tabs>
        <w:rPr>
          <w:rFonts w:hint="eastAsia" w:ascii="黑体" w:hAnsi="黑体" w:eastAsia="黑体"/>
          <w:sz w:val="44"/>
          <w:szCs w:val="44"/>
        </w:rPr>
      </w:pPr>
    </w:p>
    <w:p>
      <w:pPr>
        <w:tabs>
          <w:tab w:val="left" w:pos="3240"/>
        </w:tabs>
        <w:jc w:val="center"/>
        <w:rPr>
          <w:rFonts w:hint="eastAsia" w:ascii="黑体" w:hAnsi="黑体" w:eastAsia="黑体"/>
          <w:sz w:val="44"/>
          <w:szCs w:val="44"/>
          <w:lang w:eastAsia="zh-CN"/>
        </w:rPr>
      </w:pPr>
      <w:r>
        <w:rPr>
          <w:rFonts w:hint="eastAsia" w:ascii="黑体" w:hAnsi="黑体" w:eastAsia="黑体"/>
          <w:sz w:val="44"/>
          <w:szCs w:val="44"/>
          <w:lang w:eastAsia="zh-CN"/>
        </w:rPr>
        <w:t>中国人民政治协商会议</w:t>
      </w:r>
    </w:p>
    <w:p>
      <w:pPr>
        <w:tabs>
          <w:tab w:val="left" w:pos="3240"/>
        </w:tabs>
        <w:jc w:val="center"/>
        <w:rPr>
          <w:rFonts w:hint="eastAsia" w:ascii="黑体" w:hAnsi="黑体" w:eastAsia="黑体"/>
          <w:sz w:val="44"/>
          <w:szCs w:val="44"/>
        </w:rPr>
      </w:pPr>
      <w:r>
        <w:rPr>
          <w:rFonts w:hint="eastAsia" w:ascii="黑体" w:hAnsi="黑体" w:eastAsia="黑体"/>
          <w:sz w:val="44"/>
          <w:szCs w:val="44"/>
          <w:lang w:eastAsia="zh-CN"/>
        </w:rPr>
        <w:t>吉林省永吉县委员会办公室</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pPr>
        <w:tabs>
          <w:tab w:val="left" w:pos="3240"/>
        </w:tabs>
        <w:jc w:val="center"/>
        <w:rPr>
          <w:rFonts w:ascii="黑体" w:hAnsi="黑体" w:eastAsia="黑体"/>
          <w:sz w:val="44"/>
          <w:szCs w:val="44"/>
        </w:rPr>
      </w:pPr>
      <w:r>
        <w:rPr>
          <w:rFonts w:hint="eastAsia" w:ascii="黑体" w:hAnsi="黑体" w:eastAsia="黑体"/>
          <w:sz w:val="44"/>
          <w:szCs w:val="44"/>
        </w:rPr>
        <w:t xml:space="preserve">目 </w:t>
      </w:r>
      <w:r>
        <w:rPr>
          <w:rFonts w:hint="eastAsia" w:ascii="黑体" w:hAnsi="黑体" w:eastAsia="黑体"/>
          <w:sz w:val="44"/>
          <w:szCs w:val="44"/>
          <w:lang w:val="en-US" w:eastAsia="zh-CN"/>
        </w:rPr>
        <w:t xml:space="preserve">    </w:t>
      </w:r>
      <w:r>
        <w:rPr>
          <w:rFonts w:hint="eastAsia" w:ascii="黑体" w:hAnsi="黑体" w:eastAsia="黑体"/>
          <w:sz w:val="44"/>
          <w:szCs w:val="44"/>
        </w:rPr>
        <w:t xml:space="preserve"> 录</w:t>
      </w:r>
    </w:p>
    <w:p>
      <w:pPr>
        <w:rPr>
          <w:rFonts w:ascii="仿宋" w:hAnsi="仿宋" w:eastAsia="仿宋"/>
          <w:sz w:val="32"/>
          <w:szCs w:val="32"/>
        </w:rPr>
      </w:pPr>
      <w:r>
        <w:rPr>
          <w:rFonts w:hint="eastAsia" w:ascii="仿宋" w:hAnsi="仿宋" w:eastAsia="仿宋"/>
          <w:sz w:val="32"/>
          <w:szCs w:val="32"/>
        </w:rPr>
        <w:t>第一部分  部门概况</w:t>
      </w:r>
    </w:p>
    <w:p>
      <w:pPr>
        <w:pStyle w:val="5"/>
        <w:numPr>
          <w:ilvl w:val="0"/>
          <w:numId w:val="1"/>
        </w:numPr>
        <w:ind w:firstLineChars="0"/>
        <w:rPr>
          <w:rFonts w:ascii="仿宋" w:hAnsi="仿宋" w:eastAsia="仿宋"/>
          <w:sz w:val="32"/>
          <w:szCs w:val="32"/>
        </w:rPr>
      </w:pPr>
      <w:r>
        <w:rPr>
          <w:rFonts w:hint="eastAsia" w:ascii="仿宋" w:hAnsi="仿宋" w:eastAsia="仿宋"/>
          <w:sz w:val="32"/>
          <w:szCs w:val="32"/>
        </w:rPr>
        <w:t>主要职能</w:t>
      </w:r>
    </w:p>
    <w:p>
      <w:pPr>
        <w:pStyle w:val="5"/>
        <w:numPr>
          <w:ilvl w:val="0"/>
          <w:numId w:val="1"/>
        </w:numPr>
        <w:ind w:firstLineChars="0"/>
        <w:rPr>
          <w:rFonts w:ascii="仿宋" w:hAnsi="仿宋" w:eastAsia="仿宋"/>
          <w:sz w:val="32"/>
          <w:szCs w:val="32"/>
        </w:rPr>
      </w:pPr>
      <w:r>
        <w:rPr>
          <w:rFonts w:hint="eastAsia" w:ascii="仿宋" w:hAnsi="仿宋" w:eastAsia="仿宋"/>
          <w:sz w:val="32"/>
          <w:szCs w:val="32"/>
        </w:rPr>
        <w:t>机构设置</w:t>
      </w:r>
    </w:p>
    <w:p>
      <w:pPr>
        <w:rPr>
          <w:rFonts w:ascii="仿宋" w:hAnsi="仿宋" w:eastAsia="仿宋"/>
          <w:sz w:val="32"/>
          <w:szCs w:val="32"/>
        </w:rPr>
      </w:pPr>
      <w:r>
        <w:rPr>
          <w:rFonts w:hint="eastAsia" w:ascii="仿宋" w:hAnsi="仿宋" w:eastAsia="仿宋"/>
          <w:sz w:val="32"/>
          <w:szCs w:val="32"/>
        </w:rPr>
        <w:t>第二部分  情况说明</w:t>
      </w:r>
    </w:p>
    <w:p>
      <w:pPr>
        <w:rPr>
          <w:rFonts w:ascii="仿宋" w:hAnsi="仿宋" w:eastAsia="仿宋"/>
          <w:sz w:val="32"/>
          <w:szCs w:val="32"/>
        </w:rPr>
      </w:pPr>
      <w:r>
        <w:rPr>
          <w:rFonts w:hint="eastAsia" w:ascii="仿宋" w:hAnsi="仿宋" w:eastAsia="仿宋"/>
          <w:sz w:val="32"/>
          <w:szCs w:val="32"/>
        </w:rPr>
        <w:t xml:space="preserve">第三部分  名词解释 </w:t>
      </w:r>
    </w:p>
    <w:p>
      <w:pPr>
        <w:rPr>
          <w:rFonts w:ascii="仿宋" w:hAnsi="仿宋" w:eastAsia="仿宋"/>
          <w:sz w:val="32"/>
          <w:szCs w:val="32"/>
        </w:rPr>
      </w:pPr>
      <w:r>
        <w:rPr>
          <w:rFonts w:hint="eastAsia" w:ascii="仿宋" w:hAnsi="仿宋" w:eastAsia="仿宋"/>
          <w:sz w:val="32"/>
          <w:szCs w:val="32"/>
        </w:rPr>
        <w:t>第四部分  预算表格</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收支总表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收入总表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支出总表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pPr>
        <w:rPr>
          <w:rFonts w:ascii="仿宋" w:hAnsi="仿宋" w:eastAsia="仿宋"/>
          <w:sz w:val="32"/>
          <w:szCs w:val="32"/>
        </w:rPr>
      </w:pPr>
    </w:p>
    <w:p>
      <w:pPr>
        <w:rPr>
          <w:rFonts w:ascii="仿宋" w:hAnsi="仿宋" w:eastAsia="仿宋"/>
          <w:sz w:val="32"/>
          <w:szCs w:val="32"/>
        </w:rPr>
      </w:pPr>
    </w:p>
    <w:p>
      <w:pPr>
        <w:jc w:val="center"/>
        <w:rPr>
          <w:rFonts w:hint="eastAsia"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b/>
          <w:bCs/>
          <w:sz w:val="32"/>
          <w:szCs w:val="32"/>
          <w:lang w:val="en-US" w:eastAsia="zh-CN"/>
        </w:rPr>
        <w:t xml:space="preserve">    </w:t>
      </w:r>
      <w:r>
        <w:rPr>
          <w:rFonts w:hint="eastAsia" w:ascii="仿宋" w:hAnsi="仿宋" w:eastAsia="仿宋"/>
          <w:b/>
          <w:bCs/>
          <w:sz w:val="32"/>
          <w:szCs w:val="32"/>
        </w:rPr>
        <w:t>一、主要职能</w:t>
      </w:r>
    </w:p>
    <w:p>
      <w:pPr>
        <w:pStyle w:val="7"/>
        <w:widowControl/>
        <w:spacing w:line="620" w:lineRule="exact"/>
        <w:ind w:firstLine="627" w:firstLineChars="196"/>
        <w:contextualSpacing/>
        <w:rPr>
          <w:rFonts w:hint="eastAsia" w:ascii="仿宋" w:hAnsi="仿宋" w:eastAsia="仿宋"/>
          <w:bCs/>
          <w:w w:val="90"/>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w w:val="90"/>
          <w:kern w:val="0"/>
          <w:sz w:val="32"/>
          <w:szCs w:val="32"/>
          <w:lang w:eastAsia="zh-CN"/>
        </w:rPr>
        <w:t>中国人民政治协商会议吉林省永吉县委员会办公室</w:t>
      </w:r>
    </w:p>
    <w:p>
      <w:pPr>
        <w:pStyle w:val="7"/>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政协机关</w:t>
      </w:r>
    </w:p>
    <w:p>
      <w:pPr>
        <w:pStyle w:val="7"/>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是政协常务委员会办事机构，是政协机关的综合部门。</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bCs/>
          <w:kern w:val="0"/>
          <w:sz w:val="32"/>
          <w:szCs w:val="32"/>
        </w:rPr>
      </w:pPr>
      <w:r>
        <w:rPr>
          <w:rFonts w:hint="eastAsia" w:ascii="仿宋" w:hAnsi="仿宋" w:eastAsia="仿宋"/>
          <w:bCs/>
          <w:kern w:val="0"/>
          <w:sz w:val="32"/>
          <w:szCs w:val="32"/>
        </w:rPr>
        <w:t>主要业务：</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1、负责县政协全体会议、常委会议、主席会议的会务工作；协助专委会办公室做好专门委员会会议的会务工作。</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2、组织或协助有关职能机构实施县政协全体会议、常委会议、主席会议的决议、决定。</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3、承办委员视察、调研等日常活动的服务工作。</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4、负责与县委、县人大、县政府办及有关部门的联系，协调有关工作。</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5、协调专委会办公室调研工作。</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6、负责机关人事和机构编制管理日常工作；协同有关部门参与县政协委员的协商推荐、考察等具体工作。</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7、负责县政协机关的安全保卫、行政事务及后勤保障工作。</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8、负责县政协接待工作。</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9、负责办理县政协机关日常和其他各项事务工作。</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10、承担县政协领导交办的其他事项。</w:t>
      </w:r>
    </w:p>
    <w:p>
      <w:pPr>
        <w:pStyle w:val="7"/>
        <w:widowControl/>
        <w:spacing w:line="620" w:lineRule="exact"/>
        <w:ind w:firstLine="320" w:firstLineChars="100"/>
        <w:contextualSpacing/>
        <w:rPr>
          <w:rFonts w:ascii="仿宋" w:hAnsi="仿宋" w:eastAsia="仿宋"/>
          <w:b/>
          <w:bCs/>
          <w:sz w:val="32"/>
          <w:szCs w:val="32"/>
        </w:rPr>
      </w:pPr>
      <w:r>
        <w:rPr>
          <w:rFonts w:hint="eastAsia" w:ascii="仿宋" w:hAnsi="仿宋" w:eastAsia="仿宋"/>
          <w:sz w:val="32"/>
          <w:szCs w:val="32"/>
          <w:lang w:val="en-US" w:eastAsia="zh-CN"/>
        </w:rPr>
        <w:t xml:space="preserve">  </w:t>
      </w:r>
      <w:r>
        <w:rPr>
          <w:rFonts w:hint="eastAsia" w:ascii="仿宋" w:hAnsi="仿宋" w:eastAsia="仿宋"/>
          <w:b/>
          <w:bCs/>
          <w:sz w:val="32"/>
          <w:szCs w:val="32"/>
        </w:rPr>
        <w:t>二、机构设置</w:t>
      </w:r>
    </w:p>
    <w:p>
      <w:pPr>
        <w:widowControl w:val="0"/>
        <w:wordWrap/>
        <w:autoSpaceDE w:val="0"/>
        <w:autoSpaceDN w:val="0"/>
        <w:adjustRightInd/>
        <w:snapToGrid/>
        <w:spacing w:before="0" w:after="0" w:line="600" w:lineRule="exact"/>
        <w:ind w:left="0" w:leftChars="0" w:right="0" w:firstLine="640" w:firstLineChars="200"/>
        <w:jc w:val="left"/>
        <w:textAlignment w:val="auto"/>
        <w:outlineLvl w:val="9"/>
        <w:rPr>
          <w:rFonts w:hint="eastAsia" w:ascii="仿宋" w:hAnsi="仿宋" w:eastAsia="仿宋" w:cs="Times New Roman"/>
          <w:bCs/>
          <w:kern w:val="0"/>
          <w:sz w:val="32"/>
          <w:szCs w:val="32"/>
          <w:lang w:val="en-US" w:eastAsia="zh-CN" w:bidi="ar-SA"/>
        </w:rPr>
      </w:pPr>
      <w:r>
        <w:rPr>
          <w:rFonts w:hint="eastAsia" w:ascii="仿宋" w:hAnsi="仿宋" w:eastAsia="仿宋" w:cs="Times New Roman"/>
          <w:bCs/>
          <w:kern w:val="0"/>
          <w:sz w:val="32"/>
          <w:szCs w:val="32"/>
          <w:lang w:val="en-US" w:eastAsia="zh-CN" w:bidi="ar-SA"/>
        </w:rPr>
        <w:t>机构情况：根据上述职责，永吉县政协常务委员会内设 4个机构，为乡科级单位，分别为永吉县政协办公室（下设秘书科、综合保障中心，为股级单位）、永吉县政协经济科技办公室、永吉县政协文史提案办公室、永吉县政协农业农村办公室。永吉县政协办公室为财务管理部门，纳入吉林省财政厅2025年度部门决算编制范围。</w:t>
      </w:r>
    </w:p>
    <w:p>
      <w:pPr>
        <w:pStyle w:val="9"/>
        <w:ind w:firstLine="627" w:firstLineChars="196"/>
        <w:rPr>
          <w:rFonts w:hint="eastAsia"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19</w:t>
      </w:r>
      <w:r>
        <w:rPr>
          <w:rFonts w:hint="eastAsia" w:ascii="仿宋" w:hAnsi="仿宋" w:eastAsia="仿宋"/>
          <w:kern w:val="0"/>
          <w:szCs w:val="32"/>
        </w:rPr>
        <w:t>人，编制数</w:t>
      </w:r>
      <w:r>
        <w:rPr>
          <w:rFonts w:hint="eastAsia" w:ascii="仿宋" w:hAnsi="仿宋" w:eastAsia="仿宋"/>
          <w:kern w:val="0"/>
          <w:szCs w:val="32"/>
          <w:lang w:val="en-US" w:eastAsia="zh-CN"/>
        </w:rPr>
        <w:t>19</w:t>
      </w:r>
      <w:r>
        <w:rPr>
          <w:rFonts w:hint="eastAsia" w:ascii="仿宋" w:hAnsi="仿宋" w:eastAsia="仿宋"/>
          <w:kern w:val="0"/>
          <w:szCs w:val="32"/>
        </w:rPr>
        <w:t>人，领导职数</w:t>
      </w:r>
      <w:r>
        <w:rPr>
          <w:rFonts w:hint="eastAsia" w:ascii="仿宋" w:hAnsi="仿宋" w:eastAsia="仿宋"/>
          <w:kern w:val="0"/>
          <w:szCs w:val="32"/>
          <w:lang w:val="en-US" w:eastAsia="zh-CN"/>
        </w:rPr>
        <w:t>8</w:t>
      </w:r>
      <w:r>
        <w:rPr>
          <w:rFonts w:hint="eastAsia" w:ascii="仿宋" w:hAnsi="仿宋" w:eastAsia="仿宋"/>
          <w:kern w:val="0"/>
          <w:szCs w:val="32"/>
        </w:rPr>
        <w:t>个。</w:t>
      </w:r>
      <w:r>
        <w:rPr>
          <w:rFonts w:hint="eastAsia" w:ascii="仿宋" w:hAnsi="仿宋" w:eastAsia="仿宋"/>
          <w:kern w:val="0"/>
          <w:szCs w:val="32"/>
          <w:lang w:eastAsia="zh-CN"/>
        </w:rPr>
        <w:t>公务员</w:t>
      </w:r>
      <w:r>
        <w:rPr>
          <w:rFonts w:hint="eastAsia" w:ascii="仿宋" w:hAnsi="仿宋" w:eastAsia="仿宋"/>
          <w:kern w:val="0"/>
          <w:szCs w:val="32"/>
          <w:lang w:val="en-US" w:eastAsia="zh-CN"/>
        </w:rPr>
        <w:t>12人，行政工勤2人，事业人员5人；委培生2人，退休人员17人，遗属1人。</w:t>
      </w:r>
    </w:p>
    <w:p>
      <w:pPr>
        <w:jc w:val="center"/>
        <w:rPr>
          <w:rFonts w:hint="eastAsia"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第二部分  情况说明</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pPr>
        <w:pStyle w:val="8"/>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265.41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278.51</w:t>
      </w:r>
      <w:r>
        <w:rPr>
          <w:rFonts w:hint="eastAsia" w:ascii="仿宋" w:hAnsi="仿宋" w:eastAsia="仿宋"/>
          <w:sz w:val="32"/>
          <w:szCs w:val="32"/>
        </w:rPr>
        <w:t>万元减</w:t>
      </w:r>
      <w:r>
        <w:rPr>
          <w:rFonts w:hint="eastAsia" w:ascii="仿宋" w:hAnsi="仿宋" w:eastAsia="仿宋"/>
          <w:sz w:val="32"/>
          <w:szCs w:val="32"/>
          <w:lang w:eastAsia="zh-CN"/>
        </w:rPr>
        <w:t>少</w:t>
      </w:r>
      <w:r>
        <w:rPr>
          <w:rFonts w:hint="eastAsia" w:ascii="仿宋" w:hAnsi="仿宋" w:eastAsia="仿宋"/>
          <w:sz w:val="32"/>
          <w:szCs w:val="32"/>
        </w:rPr>
        <w:t xml:space="preserve"> </w:t>
      </w:r>
      <w:r>
        <w:rPr>
          <w:rFonts w:hint="eastAsia" w:ascii="仿宋" w:hAnsi="仿宋" w:eastAsia="仿宋"/>
          <w:sz w:val="32"/>
          <w:szCs w:val="32"/>
          <w:lang w:val="en-US" w:eastAsia="zh-CN"/>
        </w:rPr>
        <w:t>13.1</w:t>
      </w:r>
      <w:r>
        <w:rPr>
          <w:rFonts w:hint="eastAsia" w:ascii="仿宋" w:hAnsi="仿宋" w:eastAsia="仿宋"/>
          <w:sz w:val="32"/>
          <w:szCs w:val="32"/>
        </w:rPr>
        <w:t xml:space="preserve"> 万元，主要原因：</w:t>
      </w:r>
      <w:r>
        <w:rPr>
          <w:rFonts w:hint="eastAsia" w:ascii="仿宋" w:hAnsi="仿宋" w:eastAsia="仿宋"/>
          <w:sz w:val="32"/>
          <w:szCs w:val="32"/>
          <w:lang w:eastAsia="zh-CN"/>
        </w:rPr>
        <w:t>列入项目经费的政协会议、委员视察费未列入预算</w:t>
      </w:r>
      <w:r>
        <w:rPr>
          <w:rFonts w:hint="eastAsia" w:ascii="仿宋" w:hAnsi="仿宋" w:eastAsia="仿宋"/>
          <w:sz w:val="32"/>
          <w:szCs w:val="32"/>
        </w:rPr>
        <w:t>。</w:t>
      </w:r>
    </w:p>
    <w:p>
      <w:pPr>
        <w:pStyle w:val="8"/>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pPr>
        <w:pStyle w:val="8"/>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265.41</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265.41</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pPr>
        <w:pStyle w:val="8"/>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pPr>
        <w:pStyle w:val="8"/>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219.02</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202.13</w:t>
      </w:r>
      <w:r>
        <w:rPr>
          <w:rFonts w:hint="eastAsia" w:ascii="仿宋" w:hAnsi="仿宋" w:eastAsia="仿宋"/>
          <w:sz w:val="32"/>
          <w:szCs w:val="32"/>
        </w:rPr>
        <w:t xml:space="preserve"> 万元，占</w:t>
      </w:r>
      <w:r>
        <w:rPr>
          <w:rFonts w:hint="eastAsia" w:ascii="仿宋" w:hAnsi="仿宋" w:eastAsia="仿宋"/>
          <w:sz w:val="32"/>
          <w:szCs w:val="32"/>
          <w:lang w:val="en-US" w:eastAsia="zh-CN"/>
        </w:rPr>
        <w:t>92.29</w:t>
      </w:r>
      <w:r>
        <w:rPr>
          <w:rFonts w:hint="eastAsia" w:ascii="仿宋" w:hAnsi="仿宋" w:eastAsia="仿宋"/>
          <w:sz w:val="32"/>
          <w:szCs w:val="32"/>
        </w:rPr>
        <w:t>%；项目支出</w:t>
      </w:r>
      <w:r>
        <w:rPr>
          <w:rFonts w:hint="eastAsia" w:ascii="仿宋" w:hAnsi="仿宋" w:eastAsia="仿宋"/>
          <w:sz w:val="32"/>
          <w:szCs w:val="32"/>
          <w:lang w:val="en-US" w:eastAsia="zh-CN"/>
        </w:rPr>
        <w:t>16.88</w:t>
      </w:r>
      <w:r>
        <w:rPr>
          <w:rFonts w:hint="eastAsia" w:ascii="仿宋" w:hAnsi="仿宋" w:eastAsia="仿宋"/>
          <w:sz w:val="32"/>
          <w:szCs w:val="32"/>
        </w:rPr>
        <w:t>万元，占</w:t>
      </w:r>
      <w:r>
        <w:rPr>
          <w:rFonts w:hint="eastAsia" w:ascii="仿宋" w:hAnsi="仿宋" w:eastAsia="仿宋"/>
          <w:sz w:val="32"/>
          <w:szCs w:val="32"/>
          <w:lang w:val="en-US" w:eastAsia="zh-CN"/>
        </w:rPr>
        <w:t>7.71</w:t>
      </w:r>
      <w:r>
        <w:rPr>
          <w:rFonts w:hint="eastAsia" w:ascii="仿宋" w:hAnsi="仿宋" w:eastAsia="仿宋"/>
          <w:sz w:val="32"/>
          <w:szCs w:val="32"/>
        </w:rPr>
        <w:t>%。</w:t>
      </w:r>
    </w:p>
    <w:p>
      <w:pPr>
        <w:pStyle w:val="8"/>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pPr>
        <w:pStyle w:val="8"/>
        <w:ind w:firstLine="640" w:firstLineChars="200"/>
        <w:rPr>
          <w:rFonts w:ascii="仿宋" w:hAnsi="仿宋" w:eastAsia="仿宋"/>
          <w:sz w:val="32"/>
          <w:szCs w:val="32"/>
          <w:lang w:val="en-US"/>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265.41</w:t>
      </w:r>
      <w:r>
        <w:rPr>
          <w:rFonts w:hint="eastAsia" w:ascii="仿宋" w:hAnsi="仿宋" w:eastAsia="仿宋"/>
          <w:sz w:val="32"/>
          <w:szCs w:val="32"/>
        </w:rPr>
        <w:t>万元，其中：本年收入</w:t>
      </w:r>
      <w:r>
        <w:rPr>
          <w:rFonts w:hint="eastAsia" w:ascii="仿宋" w:hAnsi="仿宋" w:eastAsia="仿宋"/>
          <w:sz w:val="32"/>
          <w:szCs w:val="32"/>
          <w:lang w:val="en-US" w:eastAsia="zh-CN"/>
        </w:rPr>
        <w:t>265.41</w:t>
      </w:r>
      <w:r>
        <w:rPr>
          <w:rFonts w:hint="eastAsia" w:ascii="仿宋" w:hAnsi="仿宋" w:eastAsia="仿宋"/>
          <w:sz w:val="32"/>
          <w:szCs w:val="32"/>
        </w:rPr>
        <w:t>万元。本年支出</w:t>
      </w:r>
      <w:r>
        <w:rPr>
          <w:rFonts w:hint="eastAsia" w:ascii="仿宋" w:hAnsi="仿宋" w:eastAsia="仿宋"/>
          <w:sz w:val="32"/>
          <w:szCs w:val="32"/>
          <w:lang w:val="en-US" w:eastAsia="zh-CN"/>
        </w:rPr>
        <w:t>265.41</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219.02</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25.93</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20.46</w:t>
      </w:r>
      <w:r>
        <w:rPr>
          <w:rFonts w:hint="eastAsia" w:ascii="仿宋" w:hAnsi="仿宋" w:eastAsia="仿宋"/>
          <w:sz w:val="32"/>
          <w:szCs w:val="32"/>
        </w:rPr>
        <w:t>万元。</w:t>
      </w:r>
    </w:p>
    <w:p>
      <w:pPr>
        <w:pStyle w:val="8"/>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265.41</w:t>
      </w:r>
      <w:r>
        <w:rPr>
          <w:rFonts w:hint="eastAsia" w:ascii="仿宋" w:hAnsi="仿宋" w:eastAsia="仿宋"/>
          <w:sz w:val="32"/>
          <w:szCs w:val="32"/>
        </w:rPr>
        <w:t>万元，其中：基本支出</w:t>
      </w:r>
      <w:r>
        <w:rPr>
          <w:rFonts w:hint="eastAsia" w:ascii="仿宋" w:hAnsi="仿宋" w:eastAsia="仿宋"/>
          <w:sz w:val="32"/>
          <w:szCs w:val="32"/>
          <w:lang w:val="en-US" w:eastAsia="zh-CN"/>
        </w:rPr>
        <w:t>202.13</w:t>
      </w:r>
      <w:r>
        <w:rPr>
          <w:rFonts w:hint="eastAsia" w:ascii="仿宋" w:hAnsi="仿宋" w:eastAsia="仿宋"/>
          <w:sz w:val="32"/>
          <w:szCs w:val="32"/>
        </w:rPr>
        <w:t>万元，占</w:t>
      </w:r>
      <w:r>
        <w:rPr>
          <w:rFonts w:hint="eastAsia" w:ascii="仿宋" w:hAnsi="仿宋" w:eastAsia="仿宋"/>
          <w:sz w:val="32"/>
          <w:szCs w:val="32"/>
          <w:lang w:val="en-US" w:eastAsia="zh-CN"/>
        </w:rPr>
        <w:t>92.29</w:t>
      </w:r>
      <w:r>
        <w:rPr>
          <w:rFonts w:hint="eastAsia" w:ascii="仿宋" w:hAnsi="仿宋" w:eastAsia="仿宋"/>
          <w:sz w:val="32"/>
          <w:szCs w:val="32"/>
        </w:rPr>
        <w:t>%；项目支出</w:t>
      </w:r>
      <w:r>
        <w:rPr>
          <w:rFonts w:hint="eastAsia" w:ascii="仿宋" w:hAnsi="仿宋" w:eastAsia="仿宋"/>
          <w:sz w:val="32"/>
          <w:szCs w:val="32"/>
          <w:lang w:val="en-US" w:eastAsia="zh-CN"/>
        </w:rPr>
        <w:t>16.88</w:t>
      </w:r>
      <w:r>
        <w:rPr>
          <w:rFonts w:hint="eastAsia" w:ascii="仿宋" w:hAnsi="仿宋" w:eastAsia="仿宋"/>
          <w:sz w:val="32"/>
          <w:szCs w:val="32"/>
        </w:rPr>
        <w:t>万元，占</w:t>
      </w:r>
      <w:r>
        <w:rPr>
          <w:rFonts w:hint="eastAsia" w:ascii="仿宋" w:hAnsi="仿宋" w:eastAsia="仿宋"/>
          <w:sz w:val="32"/>
          <w:szCs w:val="32"/>
          <w:lang w:val="en-US" w:eastAsia="zh-CN"/>
        </w:rPr>
        <w:t>7.71</w:t>
      </w:r>
      <w:r>
        <w:rPr>
          <w:rFonts w:hint="eastAsia" w:ascii="仿宋" w:hAnsi="仿宋" w:eastAsia="仿宋"/>
          <w:sz w:val="32"/>
          <w:szCs w:val="32"/>
        </w:rPr>
        <w:t>%。基本支出中，人员经费</w:t>
      </w:r>
      <w:r>
        <w:rPr>
          <w:rFonts w:hint="eastAsia" w:ascii="仿宋" w:hAnsi="仿宋" w:eastAsia="仿宋"/>
          <w:sz w:val="32"/>
          <w:szCs w:val="32"/>
          <w:lang w:val="en-US" w:eastAsia="zh-CN"/>
        </w:rPr>
        <w:t>179.55</w:t>
      </w:r>
      <w:r>
        <w:rPr>
          <w:rFonts w:hint="eastAsia" w:ascii="仿宋" w:hAnsi="仿宋" w:eastAsia="仿宋"/>
          <w:sz w:val="32"/>
          <w:szCs w:val="32"/>
        </w:rPr>
        <w:t>万元，占</w:t>
      </w:r>
      <w:r>
        <w:rPr>
          <w:rFonts w:hint="eastAsia" w:ascii="仿宋" w:hAnsi="仿宋" w:eastAsia="仿宋"/>
          <w:sz w:val="32"/>
          <w:szCs w:val="32"/>
          <w:lang w:val="en-US" w:eastAsia="zh-CN"/>
        </w:rPr>
        <w:t>88.83</w:t>
      </w:r>
      <w:r>
        <w:rPr>
          <w:rFonts w:hint="eastAsia" w:ascii="仿宋" w:hAnsi="仿宋" w:eastAsia="仿宋"/>
          <w:sz w:val="32"/>
          <w:szCs w:val="32"/>
        </w:rPr>
        <w:t>%；公用经费</w:t>
      </w:r>
      <w:r>
        <w:rPr>
          <w:rFonts w:hint="eastAsia" w:ascii="仿宋" w:hAnsi="仿宋" w:eastAsia="仿宋"/>
          <w:sz w:val="32"/>
          <w:szCs w:val="32"/>
          <w:lang w:val="en-US" w:eastAsia="zh-CN"/>
        </w:rPr>
        <w:t>22.58</w:t>
      </w:r>
      <w:r>
        <w:rPr>
          <w:rFonts w:hint="eastAsia" w:ascii="仿宋" w:hAnsi="仿宋" w:eastAsia="仿宋"/>
          <w:sz w:val="32"/>
          <w:szCs w:val="32"/>
        </w:rPr>
        <w:t>万元，占</w:t>
      </w:r>
      <w:r>
        <w:rPr>
          <w:rFonts w:hint="eastAsia" w:ascii="仿宋" w:hAnsi="仿宋" w:eastAsia="仿宋"/>
          <w:sz w:val="32"/>
          <w:szCs w:val="32"/>
          <w:lang w:val="en-US" w:eastAsia="zh-CN"/>
        </w:rPr>
        <w:t>11.17</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219.02</w:t>
      </w:r>
      <w:r>
        <w:rPr>
          <w:rFonts w:hint="eastAsia" w:ascii="仿宋" w:hAnsi="仿宋" w:eastAsia="仿宋"/>
          <w:sz w:val="32"/>
          <w:szCs w:val="32"/>
        </w:rPr>
        <w:t xml:space="preserve"> 万元，占</w:t>
      </w:r>
      <w:r>
        <w:rPr>
          <w:rFonts w:hint="eastAsia" w:ascii="仿宋" w:hAnsi="仿宋" w:eastAsia="仿宋"/>
          <w:sz w:val="32"/>
          <w:szCs w:val="32"/>
          <w:lang w:val="en-US" w:eastAsia="zh-CN"/>
        </w:rPr>
        <w:t>82.52</w:t>
      </w:r>
      <w:r>
        <w:rPr>
          <w:rFonts w:hint="eastAsia" w:ascii="仿宋" w:hAnsi="仿宋" w:eastAsia="仿宋"/>
          <w:sz w:val="32"/>
          <w:szCs w:val="32"/>
        </w:rPr>
        <w:t>%，主要用于：</w:t>
      </w:r>
      <w:r>
        <w:rPr>
          <w:rFonts w:hint="eastAsia" w:ascii="仿宋" w:hAnsi="仿宋" w:eastAsia="仿宋"/>
          <w:sz w:val="32"/>
          <w:szCs w:val="32"/>
          <w:lang w:eastAsia="zh-CN"/>
        </w:rPr>
        <w:t>人员工资类支出</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25.93</w:t>
      </w:r>
      <w:r>
        <w:rPr>
          <w:rFonts w:hint="eastAsia" w:ascii="仿宋" w:hAnsi="仿宋" w:eastAsia="仿宋"/>
          <w:sz w:val="32"/>
          <w:szCs w:val="32"/>
        </w:rPr>
        <w:t xml:space="preserve"> 万元，占</w:t>
      </w:r>
      <w:r>
        <w:rPr>
          <w:rFonts w:hint="eastAsia" w:ascii="仿宋" w:hAnsi="仿宋" w:eastAsia="仿宋"/>
          <w:sz w:val="32"/>
          <w:szCs w:val="32"/>
          <w:lang w:val="en-US" w:eastAsia="zh-CN"/>
        </w:rPr>
        <w:t>9.77</w:t>
      </w:r>
      <w:r>
        <w:rPr>
          <w:rFonts w:hint="eastAsia" w:ascii="仿宋" w:hAnsi="仿宋" w:eastAsia="仿宋"/>
          <w:sz w:val="32"/>
          <w:szCs w:val="32"/>
        </w:rPr>
        <w:t>%，，主要用于：</w:t>
      </w:r>
      <w:r>
        <w:rPr>
          <w:rFonts w:hint="eastAsia" w:ascii="仿宋" w:hAnsi="仿宋" w:eastAsia="仿宋"/>
          <w:sz w:val="32"/>
          <w:szCs w:val="32"/>
          <w:lang w:eastAsia="zh-CN"/>
        </w:rPr>
        <w:t>职工养老保险、其他保障性缴费</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%，主要用于：</w:t>
      </w:r>
      <w:r>
        <w:rPr>
          <w:rFonts w:hint="eastAsia" w:ascii="仿宋" w:hAnsi="仿宋" w:eastAsia="仿宋"/>
          <w:sz w:val="32"/>
          <w:szCs w:val="32"/>
          <w:lang w:eastAsia="zh-CN"/>
        </w:rPr>
        <w:t>无卫生健康类支出</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20.46</w:t>
      </w:r>
      <w:r>
        <w:rPr>
          <w:rFonts w:hint="eastAsia" w:ascii="仿宋" w:hAnsi="仿宋" w:eastAsia="仿宋"/>
          <w:sz w:val="32"/>
          <w:szCs w:val="32"/>
        </w:rPr>
        <w:t xml:space="preserve"> 万元，占</w:t>
      </w:r>
      <w:r>
        <w:rPr>
          <w:rFonts w:hint="eastAsia" w:ascii="仿宋" w:hAnsi="仿宋" w:eastAsia="仿宋"/>
          <w:sz w:val="32"/>
          <w:szCs w:val="32"/>
          <w:lang w:val="en-US" w:eastAsia="zh-CN"/>
        </w:rPr>
        <w:t>7.71</w:t>
      </w:r>
      <w:r>
        <w:rPr>
          <w:rFonts w:hint="eastAsia" w:ascii="仿宋" w:hAnsi="仿宋" w:eastAsia="仿宋"/>
          <w:sz w:val="32"/>
          <w:szCs w:val="32"/>
        </w:rPr>
        <w:t>%，主要用于：</w:t>
      </w:r>
      <w:r>
        <w:rPr>
          <w:rFonts w:hint="eastAsia" w:ascii="仿宋" w:hAnsi="仿宋" w:eastAsia="仿宋"/>
          <w:sz w:val="32"/>
          <w:szCs w:val="32"/>
          <w:lang w:eastAsia="zh-CN"/>
        </w:rPr>
        <w:t>职工住房公积金支出</w:t>
      </w:r>
      <w:r>
        <w:rPr>
          <w:rFonts w:hint="eastAsia" w:ascii="仿宋" w:hAnsi="仿宋" w:eastAsia="仿宋"/>
          <w:sz w:val="32"/>
          <w:szCs w:val="32"/>
        </w:rPr>
        <w:t>。</w:t>
      </w:r>
    </w:p>
    <w:p>
      <w:pPr>
        <w:pStyle w:val="6"/>
        <w:rPr>
          <w:rFonts w:ascii="楷体" w:hAnsi="楷体" w:eastAsia="楷体"/>
          <w:kern w:val="0"/>
          <w:sz w:val="32"/>
          <w:szCs w:val="32"/>
        </w:rPr>
      </w:pP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 xml:space="preserve"> </w:t>
      </w: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248.53</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225.09</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pPr>
        <w:pStyle w:val="6"/>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22.58</w:t>
      </w:r>
      <w:r>
        <w:rPr>
          <w:rFonts w:hint="eastAsia" w:ascii="仿宋" w:hAnsi="仿宋" w:eastAsia="仿宋"/>
          <w:sz w:val="32"/>
          <w:szCs w:val="32"/>
        </w:rPr>
        <w:t>万元，主要包括：办公费、印刷费、水费、电费、邮电费、取暖费、差旅费、会议费、公务接待费、工会经费、公务用车运行维护费等。</w:t>
      </w:r>
    </w:p>
    <w:p>
      <w:pPr>
        <w:pStyle w:val="6"/>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pPr>
        <w:pStyle w:val="6"/>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0.5</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w:t>
      </w:r>
    </w:p>
    <w:p>
      <w:pPr>
        <w:pStyle w:val="6"/>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pPr>
        <w:pStyle w:val="6"/>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无公务接待任务</w:t>
      </w:r>
      <w:r>
        <w:rPr>
          <w:rFonts w:hint="eastAsia" w:ascii="仿宋" w:hAnsi="仿宋" w:eastAsia="仿宋"/>
          <w:kern w:val="0"/>
          <w:sz w:val="32"/>
          <w:szCs w:val="32"/>
        </w:rPr>
        <w:t>。</w:t>
      </w:r>
    </w:p>
    <w:p>
      <w:pPr>
        <w:pStyle w:val="6"/>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pPr>
        <w:pStyle w:val="6"/>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无直管公务用车</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未购置车辆</w:t>
      </w:r>
      <w:r>
        <w:rPr>
          <w:rFonts w:hint="eastAsia" w:ascii="仿宋" w:hAnsi="仿宋" w:eastAsia="仿宋"/>
          <w:kern w:val="0"/>
          <w:sz w:val="32"/>
          <w:szCs w:val="32"/>
        </w:rPr>
        <w:t>。</w:t>
      </w:r>
    </w:p>
    <w:p>
      <w:pPr>
        <w:pStyle w:val="6"/>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年本单位政府性基金支出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pPr>
        <w:pStyle w:val="6"/>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pPr>
        <w:pStyle w:val="5"/>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265.41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减少13.1</w:t>
      </w:r>
      <w:r>
        <w:rPr>
          <w:rFonts w:hint="eastAsia" w:ascii="仿宋" w:hAnsi="仿宋" w:eastAsia="仿宋"/>
          <w:sz w:val="32"/>
          <w:szCs w:val="32"/>
        </w:rPr>
        <w:t>万元，</w:t>
      </w:r>
      <w:r>
        <w:rPr>
          <w:rFonts w:hint="eastAsia" w:ascii="仿宋" w:hAnsi="仿宋" w:eastAsia="仿宋"/>
          <w:sz w:val="32"/>
          <w:szCs w:val="32"/>
          <w:lang w:val="en-US" w:eastAsia="zh-CN"/>
        </w:rPr>
        <w:t>下降4.94</w:t>
      </w:r>
      <w:r>
        <w:rPr>
          <w:rFonts w:hint="eastAsia" w:ascii="仿宋" w:hAnsi="仿宋" w:eastAsia="仿宋"/>
          <w:sz w:val="32"/>
          <w:szCs w:val="32"/>
        </w:rPr>
        <w:t>%，主要原因是</w:t>
      </w:r>
      <w:r>
        <w:rPr>
          <w:rFonts w:hint="eastAsia" w:ascii="仿宋" w:hAnsi="仿宋" w:eastAsia="仿宋"/>
          <w:sz w:val="32"/>
          <w:szCs w:val="32"/>
          <w:lang w:eastAsia="zh-CN"/>
        </w:rPr>
        <w:t>两个项目经费未列入预算（政协会议、委员视察）</w:t>
      </w:r>
      <w:r>
        <w:rPr>
          <w:rFonts w:hint="eastAsia" w:ascii="仿宋" w:hAnsi="仿宋" w:eastAsia="仿宋"/>
          <w:sz w:val="32"/>
          <w:szCs w:val="32"/>
        </w:rPr>
        <w:t>。</w:t>
      </w:r>
    </w:p>
    <w:p>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pPr>
        <w:pStyle w:val="5"/>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pPr>
        <w:pStyle w:val="5"/>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 xx 万元，其中**。</w:t>
      </w:r>
    </w:p>
    <w:p>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w:t>
      </w:r>
      <w:r>
        <w:rPr>
          <w:rFonts w:hint="eastAsia" w:ascii="仿宋" w:hAnsi="仿宋" w:eastAsia="仿宋"/>
          <w:sz w:val="32"/>
          <w:szCs w:val="32"/>
        </w:rPr>
        <w:t>万元。</w:t>
      </w:r>
    </w:p>
    <w:p>
      <w:pPr>
        <w:jc w:val="center"/>
        <w:rPr>
          <w:rFonts w:hint="eastAsia" w:ascii="黑体" w:hAnsi="黑体" w:eastAsia="黑体"/>
          <w:sz w:val="32"/>
          <w:szCs w:val="32"/>
        </w:rPr>
      </w:pPr>
      <w:r>
        <w:rPr>
          <w:rFonts w:hint="eastAsia" w:ascii="黑体" w:hAnsi="黑体" w:eastAsia="黑体"/>
          <w:sz w:val="32"/>
          <w:szCs w:val="32"/>
        </w:rPr>
        <w:t>第三部分  名词解释</w:t>
      </w:r>
    </w:p>
    <w:p>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pPr>
        <w:jc w:val="left"/>
        <w:rPr>
          <w:rFonts w:ascii="仿宋" w:hAnsi="仿宋" w:eastAsia="仿宋"/>
          <w:sz w:val="32"/>
          <w:szCs w:val="32"/>
        </w:rPr>
      </w:pPr>
    </w:p>
    <w:p>
      <w:pPr>
        <w:jc w:val="center"/>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第四部分  预算表格</w:t>
      </w:r>
    </w:p>
    <w:p>
      <w:pPr>
        <w:jc w:val="left"/>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pPr>
        <w:rPr>
          <w:rFonts w:ascii="仿宋" w:hAnsi="仿宋" w:eastAsia="仿宋"/>
          <w:b/>
          <w:sz w:val="32"/>
          <w:szCs w:val="32"/>
        </w:rPr>
      </w:pPr>
      <w:r>
        <w:rPr>
          <w:rFonts w:hint="eastAsia" w:ascii="仿宋" w:hAnsi="仿宋" w:eastAsia="仿宋"/>
          <w:b/>
          <w:sz w:val="32"/>
          <w:szCs w:val="32"/>
          <w:lang w:val="en-US" w:eastAsia="zh-CN"/>
        </w:rPr>
        <w:t xml:space="preserve">    </w:t>
      </w:r>
      <w:r>
        <w:rPr>
          <w:rFonts w:hint="eastAsia" w:ascii="仿宋" w:hAnsi="仿宋" w:eastAsia="仿宋"/>
          <w:b/>
          <w:sz w:val="32"/>
          <w:szCs w:val="32"/>
        </w:rPr>
        <w:t>注意：请勿删减文字部分内容，表格中如果是空表也需要保留。</w:t>
      </w:r>
    </w:p>
    <w:sectPr>
      <w:headerReference r:id="rId4" w:type="default"/>
      <w:footerReference r:id="rId5" w:type="default"/>
      <w:pgSz w:w="11906" w:h="16838"/>
      <w:pgMar w:top="1440" w:right="1701" w:bottom="1440" w:left="1701"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A00002BF" w:usb1="38CF7CFA" w:usb2="00000016" w:usb3="00000000" w:csb0="0004000F" w:csb1="00000000"/>
  </w:font>
  <w:font w:name="Arial Black">
    <w:panose1 w:val="020B0A04020102020204"/>
    <w:charset w:val="00"/>
    <w:family w:val="auto"/>
    <w:pitch w:val="default"/>
    <w:sig w:usb0="00000287" w:usb1="00000000" w:usb2="00000000" w:usb3="00000000" w:csb0="2000009F" w:csb1="DFD70000"/>
  </w:font>
  <w:font w:name="华文细黑">
    <w:panose1 w:val="02010600040101010101"/>
    <w:charset w:val="86"/>
    <w:family w:val="auto"/>
    <w:pitch w:val="default"/>
    <w:sig w:usb0="00000287" w:usb1="080F0000" w:usb2="00000000" w:usb3="00000000" w:csb0="0004009F" w:csb1="DFD70000"/>
  </w:font>
  <w:font w:name="方正黑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18"/>
        <w:lang w:val="en-US" w:eastAsia="zh-CN" w:bidi="ar-SA"/>
      </w:rPr>
      <w:pict>
        <v:shape id="文本框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45052481">
    <w:nsid w:val="79E50641"/>
    <w:multiLevelType w:val="multilevel"/>
    <w:tmpl w:val="79E50641"/>
    <w:lvl w:ilvl="0" w:tentative="1">
      <w:start w:val="1"/>
      <w:numFmt w:val="japaneseCounting"/>
      <w:lvlText w:val="%1、"/>
      <w:lvlJc w:val="left"/>
      <w:pPr>
        <w:ind w:left="987" w:hanging="420"/>
      </w:pPr>
      <w:rPr>
        <w:rFonts w:hint="default"/>
      </w:rPr>
    </w:lvl>
    <w:lvl w:ilvl="1" w:tentative="1">
      <w:start w:val="1"/>
      <w:numFmt w:val="lowerLetter"/>
      <w:lvlText w:val="%2)"/>
      <w:lvlJc w:val="left"/>
      <w:pPr>
        <w:ind w:left="1680" w:hanging="420"/>
      </w:pPr>
    </w:lvl>
    <w:lvl w:ilvl="2" w:tentative="1">
      <w:start w:val="1"/>
      <w:numFmt w:val="lowerRoman"/>
      <w:lvlText w:val="%3."/>
      <w:lvlJc w:val="right"/>
      <w:pPr>
        <w:ind w:left="2100" w:hanging="420"/>
      </w:pPr>
    </w:lvl>
    <w:lvl w:ilvl="3" w:tentative="1">
      <w:start w:val="1"/>
      <w:numFmt w:val="decimal"/>
      <w:lvlText w:val="%4."/>
      <w:lvlJc w:val="left"/>
      <w:pPr>
        <w:ind w:left="2520" w:hanging="420"/>
      </w:pPr>
    </w:lvl>
    <w:lvl w:ilvl="4" w:tentative="1">
      <w:start w:val="1"/>
      <w:numFmt w:val="lowerLetter"/>
      <w:lvlText w:val="%5)"/>
      <w:lvlJc w:val="left"/>
      <w:pPr>
        <w:ind w:left="2940" w:hanging="420"/>
      </w:pPr>
    </w:lvl>
    <w:lvl w:ilvl="5" w:tentative="1">
      <w:start w:val="1"/>
      <w:numFmt w:val="lowerRoman"/>
      <w:lvlText w:val="%6."/>
      <w:lvlJc w:val="right"/>
      <w:pPr>
        <w:ind w:left="3360" w:hanging="420"/>
      </w:pPr>
    </w:lvl>
    <w:lvl w:ilvl="6" w:tentative="1">
      <w:start w:val="1"/>
      <w:numFmt w:val="decimal"/>
      <w:lvlText w:val="%7."/>
      <w:lvlJc w:val="left"/>
      <w:pPr>
        <w:ind w:left="3780" w:hanging="420"/>
      </w:pPr>
    </w:lvl>
    <w:lvl w:ilvl="7" w:tentative="1">
      <w:start w:val="1"/>
      <w:numFmt w:val="lowerLetter"/>
      <w:lvlText w:val="%8)"/>
      <w:lvlJc w:val="left"/>
      <w:pPr>
        <w:ind w:left="4200" w:hanging="420"/>
      </w:pPr>
    </w:lvl>
    <w:lvl w:ilvl="8" w:tentative="1">
      <w:start w:val="1"/>
      <w:numFmt w:val="lowerRoman"/>
      <w:lvlText w:val="%9."/>
      <w:lvlJc w:val="right"/>
      <w:pPr>
        <w:ind w:left="4620" w:hanging="420"/>
      </w:pPr>
    </w:lvl>
  </w:abstractNum>
  <w:abstractNum w:abstractNumId="1998612038">
    <w:nsid w:val="77206646"/>
    <w:multiLevelType w:val="multilevel"/>
    <w:tmpl w:val="77206646"/>
    <w:lvl w:ilvl="0" w:tentative="1">
      <w:start w:val="1"/>
      <w:numFmt w:val="japaneseCounting"/>
      <w:lvlText w:val="%1、"/>
      <w:lvlJc w:val="left"/>
      <w:pPr>
        <w:ind w:left="1245" w:hanging="420"/>
      </w:pPr>
      <w:rPr>
        <w:rFonts w:hint="default"/>
      </w:rPr>
    </w:lvl>
    <w:lvl w:ilvl="1" w:tentative="1">
      <w:start w:val="1"/>
      <w:numFmt w:val="lowerLetter"/>
      <w:lvlText w:val="%2)"/>
      <w:lvlJc w:val="left"/>
      <w:pPr>
        <w:ind w:left="1665" w:hanging="420"/>
      </w:pPr>
    </w:lvl>
    <w:lvl w:ilvl="2" w:tentative="1">
      <w:start w:val="1"/>
      <w:numFmt w:val="lowerRoman"/>
      <w:lvlText w:val="%3."/>
      <w:lvlJc w:val="right"/>
      <w:pPr>
        <w:ind w:left="2085" w:hanging="420"/>
      </w:pPr>
    </w:lvl>
    <w:lvl w:ilvl="3" w:tentative="1">
      <w:start w:val="1"/>
      <w:numFmt w:val="decimal"/>
      <w:lvlText w:val="%4."/>
      <w:lvlJc w:val="left"/>
      <w:pPr>
        <w:ind w:left="2505" w:hanging="420"/>
      </w:pPr>
    </w:lvl>
    <w:lvl w:ilvl="4" w:tentative="1">
      <w:start w:val="1"/>
      <w:numFmt w:val="lowerLetter"/>
      <w:lvlText w:val="%5)"/>
      <w:lvlJc w:val="left"/>
      <w:pPr>
        <w:ind w:left="2925" w:hanging="420"/>
      </w:pPr>
    </w:lvl>
    <w:lvl w:ilvl="5" w:tentative="1">
      <w:start w:val="1"/>
      <w:numFmt w:val="lowerRoman"/>
      <w:lvlText w:val="%6."/>
      <w:lvlJc w:val="right"/>
      <w:pPr>
        <w:ind w:left="3345" w:hanging="420"/>
      </w:pPr>
    </w:lvl>
    <w:lvl w:ilvl="6" w:tentative="1">
      <w:start w:val="1"/>
      <w:numFmt w:val="decimal"/>
      <w:lvlText w:val="%7."/>
      <w:lvlJc w:val="left"/>
      <w:pPr>
        <w:ind w:left="3765" w:hanging="420"/>
      </w:pPr>
    </w:lvl>
    <w:lvl w:ilvl="7" w:tentative="1">
      <w:start w:val="1"/>
      <w:numFmt w:val="lowerLetter"/>
      <w:lvlText w:val="%8)"/>
      <w:lvlJc w:val="left"/>
      <w:pPr>
        <w:ind w:left="4185" w:hanging="420"/>
      </w:pPr>
    </w:lvl>
    <w:lvl w:ilvl="8" w:tentative="1">
      <w:start w:val="1"/>
      <w:numFmt w:val="lowerRoman"/>
      <w:lvlText w:val="%9."/>
      <w:lvlJc w:val="right"/>
      <w:pPr>
        <w:ind w:left="4605" w:hanging="420"/>
      </w:pPr>
    </w:lvl>
  </w:abstractNum>
  <w:abstractNum w:abstractNumId="512513747">
    <w:nsid w:val="1E8C56D3"/>
    <w:multiLevelType w:val="singleLevel"/>
    <w:tmpl w:val="1E8C56D3"/>
    <w:lvl w:ilvl="0" w:tentative="1">
      <w:start w:val="10"/>
      <w:numFmt w:val="chineseCounting"/>
      <w:suff w:val="nothing"/>
      <w:lvlText w:val="%1、"/>
      <w:lvlJc w:val="left"/>
      <w:pPr>
        <w:ind w:left="640" w:firstLine="0"/>
      </w:pPr>
      <w:rPr>
        <w:rFonts w:hint="eastAsia"/>
      </w:rPr>
    </w:lvl>
  </w:abstractNum>
  <w:abstractNum w:abstractNumId="612427097">
    <w:nsid w:val="2480E559"/>
    <w:multiLevelType w:val="singleLevel"/>
    <w:tmpl w:val="2480E559"/>
    <w:lvl w:ilvl="0" w:tentative="1">
      <w:start w:val="4"/>
      <w:numFmt w:val="chineseCounting"/>
      <w:suff w:val="nothing"/>
      <w:lvlText w:val="（%1）"/>
      <w:lvlJc w:val="left"/>
      <w:rPr>
        <w:rFonts w:hint="eastAsia"/>
      </w:rPr>
    </w:lvl>
  </w:abstractNum>
  <w:num w:numId="1">
    <w:abstractNumId w:val="2045052481"/>
  </w:num>
  <w:num w:numId="2">
    <w:abstractNumId w:val="1998612038"/>
  </w:num>
  <w:num w:numId="3">
    <w:abstractNumId w:val="512513747"/>
  </w:num>
  <w:num w:numId="4">
    <w:abstractNumId w:val="6124270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11"/>
    <w:semiHidden/>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List Paragraph"/>
    <w:basedOn w:val="1"/>
    <w:qFormat/>
    <w:uiPriority w:val="34"/>
    <w:pPr>
      <w:ind w:firstLine="420" w:firstLineChars="200"/>
    </w:pPr>
  </w:style>
  <w:style w:type="paragraph" w:customStyle="1" w:styleId="6">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New"/>
    <w:qFormat/>
    <w:uiPriority w:val="0"/>
    <w:pPr>
      <w:widowControl w:val="0"/>
      <w:jc w:val="both"/>
    </w:pPr>
    <w:rPr>
      <w:rFonts w:ascii="Calibri" w:hAnsi="Calibri" w:eastAsia="仿宋_GB2312" w:cs="Times New Roman"/>
      <w:kern w:val="2"/>
      <w:sz w:val="32"/>
      <w:szCs w:val="24"/>
      <w:lang w:val="en-US" w:eastAsia="zh-CN" w:bidi="ar-SA"/>
    </w:rPr>
  </w:style>
  <w:style w:type="character" w:customStyle="1" w:styleId="10">
    <w:name w:val="页眉 字符"/>
    <w:basedOn w:val="4"/>
    <w:link w:val="3"/>
    <w:uiPriority w:val="99"/>
    <w:rPr>
      <w:sz w:val="18"/>
      <w:szCs w:val="18"/>
    </w:rPr>
  </w:style>
  <w:style w:type="character" w:customStyle="1" w:styleId="11">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2521</Words>
  <Characters>2768</Characters>
  <Lines>22</Lines>
  <Paragraphs>6</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2025-04-02T07:51:56Z</dcterms:modified>
  <dc:title>中国人民政治协商会议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015E53AB75C04A42A540DA5266089B66</vt:lpwstr>
  </property>
  <property fmtid="{D5CDD505-2E9C-101B-9397-08002B2CF9AE}" pid="4" name="KSOTemplateDocerSaveRecord">
    <vt:lpwstr>eyJoZGlkIjoiNzk4ZTRlMjA0ZDliMDM5MDYxNGViNmVhNzMxOWUyZTgiLCJ1c2VySWQiOiIzNDk3MzMwMjYifQ==</vt:lpwstr>
  </property>
</Properties>
</file>