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308A6">
      <w:pPr>
        <w:jc w:val="center"/>
        <w:rPr>
          <w:rFonts w:ascii="黑体" w:hAnsi="黑体" w:eastAsia="黑体"/>
          <w:sz w:val="44"/>
          <w:szCs w:val="44"/>
        </w:rPr>
      </w:pPr>
    </w:p>
    <w:p w14:paraId="41765485">
      <w:pPr>
        <w:jc w:val="center"/>
        <w:rPr>
          <w:rFonts w:ascii="黑体" w:hAnsi="黑体" w:eastAsia="黑体"/>
          <w:sz w:val="44"/>
          <w:szCs w:val="44"/>
        </w:rPr>
      </w:pPr>
    </w:p>
    <w:p w14:paraId="09C3C606">
      <w:pPr>
        <w:jc w:val="center"/>
        <w:rPr>
          <w:rFonts w:ascii="黑体" w:hAnsi="黑体" w:eastAsia="黑体"/>
          <w:sz w:val="44"/>
          <w:szCs w:val="44"/>
        </w:rPr>
      </w:pPr>
    </w:p>
    <w:p w14:paraId="4A3E6662">
      <w:pPr>
        <w:jc w:val="center"/>
        <w:rPr>
          <w:rFonts w:ascii="黑体" w:hAnsi="黑体" w:eastAsia="黑体"/>
          <w:sz w:val="44"/>
          <w:szCs w:val="44"/>
        </w:rPr>
      </w:pPr>
    </w:p>
    <w:p w14:paraId="61DAF015">
      <w:pPr>
        <w:jc w:val="center"/>
        <w:rPr>
          <w:rFonts w:ascii="黑体" w:hAnsi="黑体" w:eastAsia="黑体"/>
          <w:sz w:val="44"/>
          <w:szCs w:val="44"/>
        </w:rPr>
      </w:pPr>
    </w:p>
    <w:p w14:paraId="22567C17">
      <w:pPr>
        <w:jc w:val="center"/>
        <w:rPr>
          <w:rFonts w:ascii="黑体" w:hAnsi="黑体" w:eastAsia="黑体"/>
          <w:sz w:val="52"/>
          <w:szCs w:val="52"/>
        </w:rPr>
      </w:pPr>
      <w:r>
        <w:rPr>
          <w:rFonts w:hint="eastAsia" w:ascii="黑体" w:hAnsi="黑体" w:eastAsia="黑体"/>
          <w:sz w:val="52"/>
          <w:szCs w:val="52"/>
        </w:rPr>
        <w:t>永吉县实验职业高中2025年部门预算</w:t>
      </w:r>
    </w:p>
    <w:p w14:paraId="4EDB3EBD">
      <w:pPr>
        <w:jc w:val="center"/>
        <w:rPr>
          <w:rFonts w:ascii="黑体" w:hAnsi="黑体" w:eastAsia="黑体"/>
          <w:sz w:val="44"/>
          <w:szCs w:val="44"/>
        </w:rPr>
      </w:pPr>
    </w:p>
    <w:p w14:paraId="054AFF4D">
      <w:pPr>
        <w:jc w:val="center"/>
        <w:rPr>
          <w:rFonts w:ascii="黑体" w:hAnsi="黑体" w:eastAsia="黑体"/>
          <w:sz w:val="44"/>
          <w:szCs w:val="44"/>
        </w:rPr>
      </w:pPr>
    </w:p>
    <w:p w14:paraId="08BE2719">
      <w:pPr>
        <w:jc w:val="center"/>
        <w:rPr>
          <w:rFonts w:ascii="黑体" w:hAnsi="黑体" w:eastAsia="黑体"/>
          <w:sz w:val="44"/>
          <w:szCs w:val="44"/>
        </w:rPr>
      </w:pPr>
    </w:p>
    <w:p w14:paraId="66C8FE48">
      <w:pPr>
        <w:jc w:val="center"/>
        <w:rPr>
          <w:rFonts w:ascii="黑体" w:hAnsi="黑体" w:eastAsia="黑体"/>
          <w:sz w:val="44"/>
          <w:szCs w:val="44"/>
        </w:rPr>
      </w:pPr>
    </w:p>
    <w:p w14:paraId="22C2DFBC">
      <w:pPr>
        <w:jc w:val="center"/>
        <w:rPr>
          <w:rFonts w:ascii="黑体" w:hAnsi="黑体" w:eastAsia="黑体"/>
          <w:sz w:val="44"/>
          <w:szCs w:val="44"/>
        </w:rPr>
      </w:pPr>
    </w:p>
    <w:p w14:paraId="6D51DBF0">
      <w:pPr>
        <w:jc w:val="center"/>
        <w:rPr>
          <w:rFonts w:ascii="黑体" w:hAnsi="黑体" w:eastAsia="黑体"/>
          <w:sz w:val="44"/>
          <w:szCs w:val="44"/>
        </w:rPr>
      </w:pPr>
    </w:p>
    <w:p w14:paraId="43AF9C82">
      <w:pPr>
        <w:jc w:val="center"/>
        <w:rPr>
          <w:rFonts w:ascii="黑体" w:hAnsi="黑体" w:eastAsia="黑体"/>
          <w:sz w:val="44"/>
          <w:szCs w:val="44"/>
        </w:rPr>
      </w:pPr>
    </w:p>
    <w:p w14:paraId="53162EB2">
      <w:pPr>
        <w:jc w:val="center"/>
        <w:rPr>
          <w:rFonts w:ascii="黑体" w:hAnsi="黑体" w:eastAsia="黑体"/>
          <w:sz w:val="44"/>
          <w:szCs w:val="44"/>
        </w:rPr>
      </w:pPr>
    </w:p>
    <w:p w14:paraId="127A5E5F">
      <w:pPr>
        <w:jc w:val="center"/>
        <w:rPr>
          <w:rFonts w:ascii="黑体" w:hAnsi="黑体" w:eastAsia="黑体"/>
          <w:sz w:val="44"/>
          <w:szCs w:val="44"/>
        </w:rPr>
      </w:pPr>
    </w:p>
    <w:p w14:paraId="1F4ED327">
      <w:pPr>
        <w:jc w:val="center"/>
        <w:rPr>
          <w:rFonts w:ascii="黑体" w:hAnsi="黑体" w:eastAsia="黑体"/>
          <w:sz w:val="44"/>
          <w:szCs w:val="44"/>
        </w:rPr>
      </w:pPr>
    </w:p>
    <w:p w14:paraId="6620963E">
      <w:pPr>
        <w:jc w:val="center"/>
        <w:rPr>
          <w:rFonts w:ascii="黑体" w:hAnsi="黑体" w:eastAsia="黑体"/>
          <w:sz w:val="44"/>
          <w:szCs w:val="44"/>
        </w:rPr>
      </w:pPr>
      <w:r>
        <w:rPr>
          <w:rFonts w:hint="eastAsia" w:ascii="黑体" w:hAnsi="黑体" w:eastAsia="黑体"/>
          <w:sz w:val="44"/>
          <w:szCs w:val="44"/>
        </w:rPr>
        <w:t>二〇二五年一月三日</w:t>
      </w:r>
    </w:p>
    <w:p w14:paraId="31DF031E">
      <w:pPr>
        <w:jc w:val="center"/>
        <w:rPr>
          <w:rFonts w:ascii="黑体" w:hAnsi="黑体" w:eastAsia="黑体"/>
          <w:sz w:val="44"/>
          <w:szCs w:val="44"/>
        </w:rPr>
      </w:pPr>
    </w:p>
    <w:p w14:paraId="5F03C20C">
      <w:pPr>
        <w:jc w:val="center"/>
        <w:rPr>
          <w:rFonts w:ascii="黑体" w:hAnsi="黑体" w:eastAsia="黑体"/>
          <w:sz w:val="44"/>
          <w:szCs w:val="44"/>
        </w:rPr>
      </w:pPr>
    </w:p>
    <w:p w14:paraId="6CEBDCF0">
      <w:pPr>
        <w:jc w:val="center"/>
        <w:rPr>
          <w:rFonts w:ascii="黑体" w:hAnsi="黑体" w:eastAsia="黑体"/>
          <w:sz w:val="44"/>
          <w:szCs w:val="44"/>
        </w:rPr>
      </w:pPr>
    </w:p>
    <w:p w14:paraId="34E2E12B">
      <w:pPr>
        <w:jc w:val="center"/>
        <w:rPr>
          <w:rFonts w:ascii="黑体" w:hAnsi="黑体" w:eastAsia="黑体"/>
          <w:sz w:val="44"/>
          <w:szCs w:val="44"/>
        </w:rPr>
      </w:pPr>
    </w:p>
    <w:p w14:paraId="5C54D5AB">
      <w:pPr>
        <w:jc w:val="center"/>
        <w:rPr>
          <w:rFonts w:ascii="黑体" w:hAnsi="黑体" w:eastAsia="黑体"/>
          <w:sz w:val="44"/>
          <w:szCs w:val="44"/>
        </w:rPr>
      </w:pPr>
    </w:p>
    <w:p w14:paraId="21AA250B">
      <w:pPr>
        <w:jc w:val="center"/>
        <w:rPr>
          <w:rFonts w:ascii="黑体" w:hAnsi="黑体" w:eastAsia="黑体"/>
          <w:sz w:val="44"/>
          <w:szCs w:val="44"/>
        </w:rPr>
      </w:pPr>
    </w:p>
    <w:p w14:paraId="7C391F06">
      <w:pPr>
        <w:jc w:val="center"/>
        <w:rPr>
          <w:rFonts w:ascii="黑体" w:hAnsi="黑体" w:eastAsia="黑体"/>
          <w:sz w:val="44"/>
          <w:szCs w:val="44"/>
        </w:rPr>
      </w:pPr>
      <w:r>
        <w:rPr>
          <w:rFonts w:hint="eastAsia" w:ascii="黑体" w:hAnsi="黑体" w:eastAsia="黑体"/>
          <w:sz w:val="44"/>
          <w:szCs w:val="44"/>
        </w:rPr>
        <w:t>永吉县实验职业高中2025年预算</w:t>
      </w:r>
    </w:p>
    <w:p w14:paraId="48AF539F">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2D7D095B">
      <w:pPr>
        <w:rPr>
          <w:rFonts w:ascii="仿宋" w:hAnsi="仿宋" w:eastAsia="仿宋"/>
          <w:sz w:val="32"/>
          <w:szCs w:val="32"/>
        </w:rPr>
      </w:pPr>
      <w:r>
        <w:rPr>
          <w:rFonts w:hint="eastAsia" w:ascii="仿宋" w:hAnsi="仿宋" w:eastAsia="仿宋"/>
          <w:sz w:val="32"/>
          <w:szCs w:val="32"/>
        </w:rPr>
        <w:t>第一部分  部门概况</w:t>
      </w:r>
    </w:p>
    <w:p w14:paraId="2503D431">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52D3A4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76C5318">
      <w:pPr>
        <w:rPr>
          <w:rFonts w:ascii="仿宋" w:hAnsi="仿宋" w:eastAsia="仿宋"/>
          <w:sz w:val="32"/>
          <w:szCs w:val="32"/>
        </w:rPr>
      </w:pPr>
      <w:r>
        <w:rPr>
          <w:rFonts w:hint="eastAsia" w:ascii="仿宋" w:hAnsi="仿宋" w:eastAsia="仿宋"/>
          <w:sz w:val="32"/>
          <w:szCs w:val="32"/>
        </w:rPr>
        <w:t>第二部分  情况说明</w:t>
      </w:r>
    </w:p>
    <w:p w14:paraId="6879519A">
      <w:pPr>
        <w:rPr>
          <w:rFonts w:ascii="仿宋" w:hAnsi="仿宋" w:eastAsia="仿宋"/>
          <w:sz w:val="32"/>
          <w:szCs w:val="32"/>
        </w:rPr>
      </w:pPr>
      <w:r>
        <w:rPr>
          <w:rFonts w:hint="eastAsia" w:ascii="仿宋" w:hAnsi="仿宋" w:eastAsia="仿宋"/>
          <w:sz w:val="32"/>
          <w:szCs w:val="32"/>
        </w:rPr>
        <w:t xml:space="preserve">第三部分  名词解释 </w:t>
      </w:r>
    </w:p>
    <w:p w14:paraId="4036F095">
      <w:pPr>
        <w:rPr>
          <w:rFonts w:ascii="仿宋" w:hAnsi="仿宋" w:eastAsia="仿宋"/>
          <w:sz w:val="32"/>
          <w:szCs w:val="32"/>
        </w:rPr>
      </w:pPr>
      <w:r>
        <w:rPr>
          <w:rFonts w:hint="eastAsia" w:ascii="仿宋" w:hAnsi="仿宋" w:eastAsia="仿宋"/>
          <w:sz w:val="32"/>
          <w:szCs w:val="32"/>
        </w:rPr>
        <w:t>第四部分  预算表格</w:t>
      </w:r>
    </w:p>
    <w:p w14:paraId="397CAC11">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77029142">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6586035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0EED78E4">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2294392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FF95673">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474B21C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A379E22">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4E9FD4B">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D28533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690EE79A">
      <w:pPr>
        <w:rPr>
          <w:rFonts w:ascii="仿宋" w:hAnsi="仿宋" w:eastAsia="仿宋"/>
          <w:sz w:val="32"/>
          <w:szCs w:val="32"/>
        </w:rPr>
      </w:pPr>
    </w:p>
    <w:p w14:paraId="2EA432A1">
      <w:pPr>
        <w:rPr>
          <w:rFonts w:ascii="仿宋" w:hAnsi="仿宋" w:eastAsia="仿宋"/>
          <w:sz w:val="32"/>
          <w:szCs w:val="32"/>
        </w:rPr>
      </w:pPr>
    </w:p>
    <w:p w14:paraId="3A9ED974">
      <w:pPr>
        <w:rPr>
          <w:rFonts w:ascii="仿宋" w:hAnsi="仿宋" w:eastAsia="仿宋"/>
          <w:sz w:val="32"/>
          <w:szCs w:val="32"/>
        </w:rPr>
      </w:pPr>
    </w:p>
    <w:p w14:paraId="0A8E858A">
      <w:pPr>
        <w:jc w:val="center"/>
        <w:rPr>
          <w:rFonts w:ascii="黑体" w:hAnsi="黑体" w:eastAsia="黑体"/>
          <w:sz w:val="32"/>
          <w:szCs w:val="32"/>
        </w:rPr>
      </w:pPr>
      <w:r>
        <w:rPr>
          <w:rFonts w:hint="eastAsia" w:ascii="黑体" w:hAnsi="黑体" w:eastAsia="黑体"/>
          <w:sz w:val="32"/>
          <w:szCs w:val="32"/>
        </w:rPr>
        <w:t>第一部分    部门（单位）概况</w:t>
      </w:r>
    </w:p>
    <w:p w14:paraId="4A7C90AD">
      <w:pPr>
        <w:jc w:val="left"/>
        <w:rPr>
          <w:rFonts w:ascii="仿宋" w:hAnsi="仿宋" w:eastAsia="仿宋"/>
          <w:sz w:val="32"/>
          <w:szCs w:val="32"/>
        </w:rPr>
      </w:pPr>
      <w:r>
        <w:rPr>
          <w:rFonts w:hint="eastAsia" w:ascii="仿宋" w:hAnsi="仿宋" w:eastAsia="仿宋"/>
          <w:sz w:val="32"/>
          <w:szCs w:val="32"/>
        </w:rPr>
        <w:t xml:space="preserve">  </w:t>
      </w:r>
    </w:p>
    <w:p w14:paraId="19CAAF8F">
      <w:pPr>
        <w:jc w:val="left"/>
        <w:rPr>
          <w:rFonts w:ascii="仿宋" w:hAnsi="仿宋" w:eastAsia="仿宋"/>
          <w:sz w:val="32"/>
          <w:szCs w:val="32"/>
        </w:rPr>
      </w:pPr>
      <w:r>
        <w:rPr>
          <w:rFonts w:hint="eastAsia" w:ascii="仿宋" w:hAnsi="仿宋" w:eastAsia="仿宋"/>
          <w:sz w:val="32"/>
          <w:szCs w:val="32"/>
        </w:rPr>
        <w:t xml:space="preserve"> 一、主要职能</w:t>
      </w:r>
    </w:p>
    <w:p w14:paraId="50BD4508">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名称：永吉县实验职业高中</w:t>
      </w:r>
    </w:p>
    <w:p w14:paraId="081F0187">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75888E28">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教书育人</w:t>
      </w:r>
    </w:p>
    <w:p w14:paraId="67A8ADD6">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实施高级中学学历教育。培养技能型人才与高素质劳动者，实施职业知识与职业技能教育、做好各类岗前培训。</w:t>
      </w:r>
    </w:p>
    <w:p w14:paraId="3B1E5579">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73ABFC0">
      <w:pPr>
        <w:pStyle w:val="12"/>
        <w:ind w:firstLine="627" w:firstLineChars="196"/>
        <w:rPr>
          <w:rFonts w:hint="eastAsia" w:ascii="仿宋" w:hAnsi="仿宋" w:eastAsia="仿宋"/>
          <w:kern w:val="0"/>
          <w:szCs w:val="32"/>
        </w:rPr>
      </w:pPr>
      <w:r>
        <w:rPr>
          <w:rFonts w:hint="eastAsia" w:ascii="仿宋" w:hAnsi="仿宋" w:eastAsia="仿宋"/>
          <w:kern w:val="0"/>
          <w:szCs w:val="32"/>
        </w:rPr>
        <w:t>机构设置包括：校长办公室、党务办公室、工会、教务科、科研室、学生科、政教处、企训部、就业培训科、实训科、总务科、招生办、团委、信息办、安全办、财会室。</w:t>
      </w:r>
    </w:p>
    <w:p w14:paraId="6FFA137D">
      <w:pPr>
        <w:pStyle w:val="12"/>
        <w:ind w:firstLine="627" w:firstLineChars="196"/>
        <w:rPr>
          <w:rFonts w:ascii="仿宋" w:hAnsi="仿宋" w:eastAsia="仿宋"/>
          <w:szCs w:val="32"/>
        </w:rPr>
      </w:pPr>
      <w:r>
        <w:rPr>
          <w:rFonts w:hint="eastAsia" w:ascii="仿宋" w:hAnsi="仿宋" w:eastAsia="仿宋"/>
          <w:kern w:val="0"/>
          <w:szCs w:val="32"/>
        </w:rPr>
        <w:t>人员情况：编制数104人，在职人员91人，领导职数6人。</w:t>
      </w:r>
      <w:r>
        <w:rPr>
          <w:rFonts w:hint="eastAsia" w:ascii="仿宋" w:hAnsi="仿宋" w:eastAsia="仿宋"/>
          <w:szCs w:val="32"/>
        </w:rPr>
        <w:t xml:space="preserve">   </w:t>
      </w:r>
    </w:p>
    <w:p w14:paraId="7CA0011F">
      <w:pPr>
        <w:jc w:val="left"/>
        <w:rPr>
          <w:rFonts w:ascii="仿宋" w:hAnsi="仿宋" w:eastAsia="仿宋"/>
          <w:sz w:val="32"/>
          <w:szCs w:val="32"/>
        </w:rPr>
      </w:pPr>
    </w:p>
    <w:p w14:paraId="1589C18B">
      <w:pPr>
        <w:jc w:val="left"/>
        <w:rPr>
          <w:rFonts w:ascii="仿宋" w:hAnsi="仿宋" w:eastAsia="仿宋"/>
          <w:sz w:val="32"/>
          <w:szCs w:val="32"/>
        </w:rPr>
      </w:pPr>
    </w:p>
    <w:p w14:paraId="4E7915D6">
      <w:pPr>
        <w:jc w:val="left"/>
        <w:rPr>
          <w:rFonts w:ascii="仿宋" w:hAnsi="仿宋" w:eastAsia="仿宋"/>
          <w:sz w:val="32"/>
          <w:szCs w:val="32"/>
        </w:rPr>
      </w:pPr>
    </w:p>
    <w:p w14:paraId="428F8CEF">
      <w:pPr>
        <w:jc w:val="left"/>
        <w:rPr>
          <w:rFonts w:ascii="仿宋" w:hAnsi="仿宋" w:eastAsia="仿宋"/>
          <w:sz w:val="32"/>
          <w:szCs w:val="32"/>
        </w:rPr>
      </w:pPr>
    </w:p>
    <w:p w14:paraId="1E98D559">
      <w:pPr>
        <w:jc w:val="left"/>
        <w:rPr>
          <w:rFonts w:ascii="仿宋" w:hAnsi="仿宋" w:eastAsia="仿宋"/>
          <w:sz w:val="32"/>
          <w:szCs w:val="32"/>
        </w:rPr>
      </w:pPr>
    </w:p>
    <w:p w14:paraId="638F291E">
      <w:pPr>
        <w:jc w:val="left"/>
        <w:rPr>
          <w:rFonts w:ascii="仿宋" w:hAnsi="仿宋" w:eastAsia="仿宋"/>
          <w:sz w:val="32"/>
          <w:szCs w:val="32"/>
        </w:rPr>
      </w:pPr>
    </w:p>
    <w:p w14:paraId="49E7B6DA">
      <w:pPr>
        <w:jc w:val="left"/>
        <w:rPr>
          <w:rFonts w:ascii="仿宋" w:hAnsi="仿宋" w:eastAsia="仿宋"/>
          <w:sz w:val="32"/>
          <w:szCs w:val="32"/>
        </w:rPr>
      </w:pPr>
    </w:p>
    <w:p w14:paraId="68F8CFCE">
      <w:pPr>
        <w:jc w:val="center"/>
        <w:rPr>
          <w:rFonts w:ascii="黑体" w:hAnsi="黑体" w:eastAsia="黑体"/>
          <w:sz w:val="32"/>
          <w:szCs w:val="32"/>
        </w:rPr>
      </w:pPr>
    </w:p>
    <w:p w14:paraId="158596F3">
      <w:pPr>
        <w:jc w:val="center"/>
        <w:rPr>
          <w:rFonts w:ascii="黑体" w:hAnsi="黑体" w:eastAsia="黑体"/>
          <w:sz w:val="32"/>
          <w:szCs w:val="32"/>
        </w:rPr>
      </w:pPr>
    </w:p>
    <w:p w14:paraId="4A328CAD">
      <w:pPr>
        <w:jc w:val="center"/>
        <w:rPr>
          <w:rFonts w:ascii="黑体" w:hAnsi="黑体" w:eastAsia="黑体"/>
          <w:sz w:val="32"/>
          <w:szCs w:val="32"/>
        </w:rPr>
      </w:pPr>
    </w:p>
    <w:p w14:paraId="669A1951">
      <w:pPr>
        <w:jc w:val="center"/>
        <w:rPr>
          <w:rFonts w:ascii="黑体" w:hAnsi="黑体" w:eastAsia="黑体"/>
          <w:sz w:val="32"/>
          <w:szCs w:val="32"/>
        </w:rPr>
      </w:pPr>
      <w:r>
        <w:rPr>
          <w:rFonts w:hint="eastAsia" w:ascii="黑体" w:hAnsi="黑体" w:eastAsia="黑体"/>
          <w:sz w:val="32"/>
          <w:szCs w:val="32"/>
        </w:rPr>
        <w:t>第二部分  情况说明</w:t>
      </w:r>
    </w:p>
    <w:p w14:paraId="41F51945">
      <w:pPr>
        <w:jc w:val="left"/>
        <w:rPr>
          <w:rFonts w:ascii="仿宋" w:hAnsi="仿宋" w:eastAsia="仿宋"/>
          <w:sz w:val="32"/>
          <w:szCs w:val="32"/>
        </w:rPr>
      </w:pPr>
      <w:r>
        <w:rPr>
          <w:rFonts w:hint="eastAsia" w:ascii="仿宋" w:hAnsi="仿宋" w:eastAsia="仿宋"/>
          <w:sz w:val="32"/>
          <w:szCs w:val="32"/>
        </w:rPr>
        <w:t xml:space="preserve"> </w:t>
      </w:r>
    </w:p>
    <w:p w14:paraId="47B0F9AA">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10BF09B0">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1348.06万元，比 2024年预算数1209.21万元增加 138.85万元，主要原因：含省级补助资金。</w:t>
      </w:r>
    </w:p>
    <w:p w14:paraId="4369381E">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14B39937">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2025年本单位收入预算1348.06万元，其中：一般公共预算收入1348.06万元，占100%；政府性基金收入 0万元，占0%。</w:t>
      </w:r>
    </w:p>
    <w:p w14:paraId="18149AAB">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63509B2E">
      <w:pPr>
        <w:pStyle w:val="11"/>
        <w:ind w:firstLine="640" w:firstLineChars="200"/>
        <w:rPr>
          <w:rFonts w:ascii="仿宋" w:hAnsi="仿宋" w:eastAsia="仿宋"/>
          <w:sz w:val="32"/>
          <w:szCs w:val="32"/>
        </w:rPr>
      </w:pPr>
      <w:r>
        <w:rPr>
          <w:rFonts w:hint="eastAsia" w:ascii="仿宋" w:hAnsi="仿宋" w:eastAsia="仿宋"/>
          <w:sz w:val="32"/>
          <w:szCs w:val="32"/>
        </w:rPr>
        <w:t>2025年支出预算1348.06万元，其中：基本支出1235.59万元，占91.66%；项目支出112.47 万元，占8.34%。</w:t>
      </w:r>
    </w:p>
    <w:p w14:paraId="748BDCA7">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4C1C013">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2025年财政拨款收支总预算1348.06万元，其中：本年收入1348.06 万元。本年支出1348.06万元，支出包括：教育支出1100.44万元，社会保障和就业支出140.34万元，住房保障支出107.28万元。</w:t>
      </w:r>
    </w:p>
    <w:p w14:paraId="22435304">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47C00339">
      <w:pPr>
        <w:ind w:firstLine="640" w:firstLineChars="200"/>
        <w:rPr>
          <w:rFonts w:ascii="仿宋" w:hAnsi="仿宋" w:eastAsia="仿宋"/>
          <w:sz w:val="32"/>
          <w:szCs w:val="32"/>
        </w:rPr>
      </w:pPr>
      <w:r>
        <w:rPr>
          <w:rFonts w:hint="eastAsia" w:ascii="仿宋" w:hAnsi="仿宋" w:eastAsia="仿宋"/>
          <w:sz w:val="32"/>
          <w:szCs w:val="32"/>
        </w:rPr>
        <w:t>2025年一般公共预算当年拨款1348.06万元，其中：基本支出1235.59万元，占91.66%；项目支出112.47万元，占8.34%。基本支出中，人员经费1218.86万元，占98.65%；公用经费16.73万元，占1.35%。</w:t>
      </w:r>
    </w:p>
    <w:p w14:paraId="10ED569F">
      <w:pPr>
        <w:ind w:firstLine="640" w:firstLineChars="200"/>
        <w:rPr>
          <w:rFonts w:ascii="仿宋" w:hAnsi="仿宋" w:eastAsia="仿宋"/>
          <w:sz w:val="32"/>
          <w:szCs w:val="32"/>
        </w:rPr>
      </w:pPr>
      <w:r>
        <w:rPr>
          <w:rFonts w:hint="eastAsia" w:ascii="仿宋" w:hAnsi="仿宋" w:eastAsia="仿宋"/>
          <w:sz w:val="32"/>
          <w:szCs w:val="32"/>
        </w:rPr>
        <w:t>教育（类）支出1100.44万元，占81.63%，主要用于：人员工资福利支出、医保缴费支出、其他社会保障缴费、生活补助及商品服务支出。</w:t>
      </w:r>
    </w:p>
    <w:p w14:paraId="29D65607">
      <w:pPr>
        <w:ind w:firstLine="640" w:firstLineChars="200"/>
        <w:rPr>
          <w:rFonts w:ascii="仿宋" w:hAnsi="仿宋" w:eastAsia="仿宋"/>
          <w:sz w:val="32"/>
          <w:szCs w:val="32"/>
        </w:rPr>
      </w:pPr>
      <w:r>
        <w:rPr>
          <w:rFonts w:hint="eastAsia" w:ascii="仿宋" w:hAnsi="仿宋" w:eastAsia="仿宋"/>
          <w:sz w:val="32"/>
          <w:szCs w:val="32"/>
        </w:rPr>
        <w:t>社会保障和就业（类）支出140.34 万元，占10.41%，主要用于：养老保险缴费支出。</w:t>
      </w:r>
    </w:p>
    <w:p w14:paraId="351CC6CB">
      <w:pPr>
        <w:ind w:firstLine="640" w:firstLineChars="200"/>
        <w:rPr>
          <w:rFonts w:ascii="仿宋" w:hAnsi="仿宋" w:eastAsia="仿宋"/>
          <w:sz w:val="32"/>
          <w:szCs w:val="32"/>
        </w:rPr>
      </w:pPr>
      <w:r>
        <w:rPr>
          <w:rFonts w:hint="eastAsia" w:ascii="仿宋" w:hAnsi="仿宋" w:eastAsia="仿宋"/>
          <w:sz w:val="32"/>
          <w:szCs w:val="32"/>
        </w:rPr>
        <w:t>住房保障（类）支出107.28万元，占7.96%，主要用于：住房公积金缴费支出。</w:t>
      </w:r>
    </w:p>
    <w:p w14:paraId="29AC11C8">
      <w:pPr>
        <w:ind w:firstLine="160" w:firstLineChars="5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624DD600">
      <w:pPr>
        <w:ind w:firstLine="640" w:firstLineChars="200"/>
        <w:rPr>
          <w:rFonts w:ascii="仿宋" w:hAnsi="仿宋" w:eastAsia="仿宋"/>
          <w:sz w:val="32"/>
          <w:szCs w:val="32"/>
        </w:rPr>
      </w:pPr>
      <w:r>
        <w:rPr>
          <w:rFonts w:hint="eastAsia" w:ascii="仿宋" w:hAnsi="仿宋" w:eastAsia="仿宋"/>
          <w:sz w:val="32"/>
          <w:szCs w:val="32"/>
        </w:rPr>
        <w:t>2025年一般公共预算基本支出1235.59万元，其中：</w:t>
      </w:r>
    </w:p>
    <w:p w14:paraId="7F7C1510">
      <w:pPr>
        <w:ind w:firstLine="640" w:firstLineChars="200"/>
        <w:rPr>
          <w:rFonts w:ascii="仿宋" w:hAnsi="仿宋" w:eastAsia="仿宋"/>
          <w:sz w:val="32"/>
          <w:szCs w:val="32"/>
        </w:rPr>
      </w:pPr>
      <w:r>
        <w:rPr>
          <w:rFonts w:hint="eastAsia" w:ascii="仿宋" w:hAnsi="仿宋" w:eastAsia="仿宋"/>
          <w:sz w:val="32"/>
          <w:szCs w:val="32"/>
        </w:rPr>
        <w:t>人员经费1218.86万元，主要包括：基本工资、津贴补贴、绩效工资、机关事业单位基本养老保险缴费、职工基本医疗保险缴费、其他社会保障缴费、住房公积金、生活补助等；</w:t>
      </w:r>
    </w:p>
    <w:p w14:paraId="1ACFB295">
      <w:pPr>
        <w:pStyle w:val="9"/>
        <w:ind w:firstLine="627" w:firstLineChars="196"/>
        <w:rPr>
          <w:rFonts w:ascii="仿宋" w:hAnsi="仿宋" w:eastAsia="仿宋"/>
          <w:kern w:val="0"/>
          <w:sz w:val="32"/>
          <w:szCs w:val="32"/>
        </w:rPr>
      </w:pPr>
      <w:r>
        <w:rPr>
          <w:rFonts w:hint="eastAsia" w:ascii="仿宋" w:hAnsi="仿宋" w:eastAsia="仿宋"/>
          <w:sz w:val="32"/>
          <w:szCs w:val="32"/>
        </w:rPr>
        <w:t>公用经费16.73万元，主要包括：工会经费。</w:t>
      </w:r>
    </w:p>
    <w:p w14:paraId="6152C64E">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8616301">
      <w:pPr>
        <w:pStyle w:val="9"/>
        <w:ind w:firstLine="640" w:firstLineChars="200"/>
        <w:rPr>
          <w:rFonts w:ascii="仿宋" w:hAnsi="仿宋" w:eastAsia="仿宋"/>
          <w:kern w:val="0"/>
          <w:sz w:val="32"/>
          <w:szCs w:val="32"/>
        </w:rPr>
      </w:pPr>
      <w:r>
        <w:rPr>
          <w:rFonts w:hint="eastAsia" w:ascii="仿宋" w:hAnsi="仿宋" w:eastAsia="仿宋"/>
          <w:kern w:val="0"/>
          <w:sz w:val="32"/>
          <w:szCs w:val="32"/>
        </w:rPr>
        <w:t>2025年我单位无“三公经费</w:t>
      </w:r>
      <w:r>
        <w:rPr>
          <w:rFonts w:ascii="仿宋" w:hAnsi="仿宋" w:eastAsia="仿宋"/>
          <w:kern w:val="0"/>
          <w:sz w:val="32"/>
          <w:szCs w:val="32"/>
        </w:rPr>
        <w:t>”</w:t>
      </w:r>
      <w:r>
        <w:rPr>
          <w:rFonts w:hint="eastAsia" w:ascii="仿宋" w:hAnsi="仿宋" w:eastAsia="仿宋"/>
          <w:kern w:val="0"/>
          <w:sz w:val="32"/>
          <w:szCs w:val="32"/>
        </w:rPr>
        <w:t>预算支出。</w:t>
      </w:r>
    </w:p>
    <w:p w14:paraId="4BE1453B">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1A5416CB">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5年我单位无政府性基金预算支出。</w:t>
      </w:r>
    </w:p>
    <w:p w14:paraId="7EA84948">
      <w:pPr>
        <w:ind w:firstLine="640" w:firstLineChars="200"/>
        <w:jc w:val="left"/>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1A56E747">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7D81FA8">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7134EA78">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AEE3CA6">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2025年本单位机关运行经费财政拨款预算1348.06万元，比 2024年预算增加138.85万元，增长主要原因是含省级补助资金。</w:t>
      </w:r>
    </w:p>
    <w:p w14:paraId="254E1179">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1D08C3E9">
      <w:pPr>
        <w:ind w:firstLine="640" w:firstLineChars="200"/>
        <w:jc w:val="left"/>
        <w:rPr>
          <w:rFonts w:ascii="仿宋" w:hAnsi="仿宋" w:eastAsia="仿宋"/>
          <w:sz w:val="32"/>
          <w:szCs w:val="32"/>
        </w:rPr>
      </w:pPr>
      <w:r>
        <w:rPr>
          <w:rFonts w:hint="eastAsia" w:ascii="仿宋" w:hAnsi="仿宋" w:eastAsia="仿宋"/>
          <w:sz w:val="32"/>
          <w:szCs w:val="32"/>
        </w:rPr>
        <w:t>2025年政我单位无政府采购预算支出。</w:t>
      </w:r>
    </w:p>
    <w:p w14:paraId="28F08127">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DC79B10">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 辆，其中，领导干部用车0辆、一般公务用车0辆,一般执法执勤用车0辆、特种专业技术用车0辆、其他用车0辆，价值200万元以上大型设备 0台（套）。</w:t>
      </w:r>
    </w:p>
    <w:p w14:paraId="7B37CA78">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2025年部门预算安排购置车辆及价值200万元以上大型设备0万元。</w:t>
      </w:r>
    </w:p>
    <w:p w14:paraId="051A789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112.47</w:t>
      </w:r>
      <w:r>
        <w:rPr>
          <w:rFonts w:hint="eastAsia" w:ascii="仿宋" w:hAnsi="仿宋" w:eastAsia="仿宋"/>
          <w:sz w:val="32"/>
          <w:szCs w:val="32"/>
        </w:rPr>
        <w:t>万元。</w:t>
      </w:r>
    </w:p>
    <w:p w14:paraId="4ABCC548">
      <w:pPr>
        <w:jc w:val="left"/>
        <w:rPr>
          <w:rFonts w:ascii="仿宋" w:hAnsi="仿宋" w:eastAsia="仿宋"/>
          <w:sz w:val="32"/>
          <w:szCs w:val="32"/>
        </w:rPr>
      </w:pPr>
    </w:p>
    <w:p w14:paraId="00B9C531">
      <w:pPr>
        <w:jc w:val="center"/>
        <w:rPr>
          <w:rFonts w:ascii="黑体" w:hAnsi="黑体" w:eastAsia="黑体"/>
          <w:sz w:val="32"/>
          <w:szCs w:val="32"/>
        </w:rPr>
      </w:pPr>
    </w:p>
    <w:p w14:paraId="5A8CF370">
      <w:pPr>
        <w:jc w:val="center"/>
        <w:rPr>
          <w:rFonts w:ascii="黑体" w:hAnsi="黑体" w:eastAsia="黑体"/>
          <w:sz w:val="32"/>
          <w:szCs w:val="32"/>
        </w:rPr>
      </w:pPr>
    </w:p>
    <w:p w14:paraId="4E7E9F2C">
      <w:pPr>
        <w:jc w:val="center"/>
        <w:rPr>
          <w:rFonts w:ascii="黑体" w:hAnsi="黑体" w:eastAsia="黑体"/>
          <w:sz w:val="32"/>
          <w:szCs w:val="32"/>
        </w:rPr>
      </w:pPr>
    </w:p>
    <w:p w14:paraId="6E9D1321">
      <w:pPr>
        <w:jc w:val="center"/>
        <w:rPr>
          <w:rFonts w:ascii="黑体" w:hAnsi="黑体" w:eastAsia="黑体"/>
          <w:sz w:val="32"/>
          <w:szCs w:val="32"/>
        </w:rPr>
      </w:pPr>
      <w:r>
        <w:rPr>
          <w:rFonts w:hint="eastAsia" w:ascii="黑体" w:hAnsi="黑体" w:eastAsia="黑体"/>
          <w:sz w:val="32"/>
          <w:szCs w:val="32"/>
        </w:rPr>
        <w:t>第三部分  名词解释</w:t>
      </w:r>
    </w:p>
    <w:p w14:paraId="39E41390">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7229CA60">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476CFFF2">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61A2B5E8">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5F3EFE1">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20FE58B7">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CAB4786">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1F4078F7">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B81E92A">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E26F9E9">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D189F10">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1E57AD3B">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5086510A">
      <w:pPr>
        <w:ind w:firstLine="640" w:firstLineChars="200"/>
        <w:rPr>
          <w:rFonts w:ascii="仿宋_GB2312" w:eastAsia="仿宋_GB2312"/>
          <w:sz w:val="32"/>
          <w:szCs w:val="32"/>
        </w:rPr>
      </w:pPr>
    </w:p>
    <w:p w14:paraId="48E4BCBB">
      <w:pPr>
        <w:jc w:val="left"/>
        <w:rPr>
          <w:rFonts w:ascii="仿宋" w:hAnsi="仿宋" w:eastAsia="仿宋"/>
          <w:sz w:val="32"/>
          <w:szCs w:val="32"/>
        </w:rPr>
      </w:pPr>
      <w:r>
        <w:rPr>
          <w:rFonts w:hint="eastAsia" w:ascii="仿宋" w:hAnsi="仿宋" w:eastAsia="仿宋"/>
          <w:sz w:val="32"/>
          <w:szCs w:val="32"/>
        </w:rPr>
        <w:t xml:space="preserve"> </w:t>
      </w:r>
    </w:p>
    <w:p w14:paraId="00919FE0">
      <w:pPr>
        <w:jc w:val="left"/>
        <w:rPr>
          <w:rFonts w:ascii="仿宋" w:hAnsi="仿宋" w:eastAsia="仿宋"/>
          <w:sz w:val="32"/>
          <w:szCs w:val="32"/>
        </w:rPr>
      </w:pPr>
    </w:p>
    <w:p w14:paraId="4F7D562E">
      <w:pPr>
        <w:jc w:val="left"/>
        <w:rPr>
          <w:rFonts w:ascii="仿宋" w:hAnsi="仿宋" w:eastAsia="仿宋"/>
          <w:sz w:val="32"/>
          <w:szCs w:val="32"/>
        </w:rPr>
      </w:pPr>
    </w:p>
    <w:p w14:paraId="15E6DAEC">
      <w:pPr>
        <w:jc w:val="center"/>
        <w:rPr>
          <w:rFonts w:ascii="仿宋" w:hAnsi="仿宋" w:eastAsia="仿宋"/>
          <w:sz w:val="32"/>
          <w:szCs w:val="32"/>
        </w:rPr>
      </w:pPr>
    </w:p>
    <w:p w14:paraId="1070FEFF">
      <w:pPr>
        <w:jc w:val="center"/>
        <w:rPr>
          <w:rFonts w:ascii="仿宋" w:hAnsi="仿宋" w:eastAsia="仿宋"/>
          <w:sz w:val="32"/>
          <w:szCs w:val="32"/>
        </w:rPr>
      </w:pPr>
    </w:p>
    <w:p w14:paraId="29937CAD">
      <w:pPr>
        <w:jc w:val="center"/>
        <w:rPr>
          <w:rFonts w:ascii="仿宋" w:hAnsi="仿宋" w:eastAsia="仿宋"/>
          <w:sz w:val="32"/>
          <w:szCs w:val="32"/>
        </w:rPr>
      </w:pPr>
    </w:p>
    <w:p w14:paraId="74066E92">
      <w:pPr>
        <w:jc w:val="center"/>
        <w:rPr>
          <w:rFonts w:hint="eastAsia" w:ascii="黑体" w:hAnsi="黑体" w:eastAsia="黑体"/>
          <w:sz w:val="32"/>
          <w:szCs w:val="32"/>
        </w:rPr>
      </w:pPr>
      <w:r>
        <w:rPr>
          <w:rFonts w:hint="eastAsia" w:ascii="黑体" w:hAnsi="黑体" w:eastAsia="黑体"/>
          <w:sz w:val="32"/>
          <w:szCs w:val="32"/>
        </w:rPr>
        <w:t>第四部分  预算表格</w:t>
      </w:r>
    </w:p>
    <w:p w14:paraId="1C2B5DA5">
      <w:pPr>
        <w:ind w:firstLine="640" w:firstLineChars="200"/>
        <w:jc w:val="left"/>
        <w:rPr>
          <w:rFonts w:hint="eastAsia" w:ascii="仿宋" w:hAnsi="仿宋" w:eastAsia="仿宋"/>
          <w:sz w:val="32"/>
          <w:szCs w:val="32"/>
        </w:rPr>
      </w:pPr>
    </w:p>
    <w:p w14:paraId="6A4B3E7B">
      <w:pPr>
        <w:ind w:firstLine="640" w:firstLineChars="200"/>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p w14:paraId="0D823F4C">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C7810"/>
    <w:rsid w:val="001E24AD"/>
    <w:rsid w:val="001F239D"/>
    <w:rsid w:val="00242E9B"/>
    <w:rsid w:val="00251CE0"/>
    <w:rsid w:val="00251F84"/>
    <w:rsid w:val="002B2345"/>
    <w:rsid w:val="002E0B3B"/>
    <w:rsid w:val="002F1115"/>
    <w:rsid w:val="002F3222"/>
    <w:rsid w:val="00357E92"/>
    <w:rsid w:val="00380C14"/>
    <w:rsid w:val="003B5174"/>
    <w:rsid w:val="003B5F35"/>
    <w:rsid w:val="004176EB"/>
    <w:rsid w:val="004763A7"/>
    <w:rsid w:val="00482664"/>
    <w:rsid w:val="004C1015"/>
    <w:rsid w:val="00567D16"/>
    <w:rsid w:val="00572D27"/>
    <w:rsid w:val="00576DB1"/>
    <w:rsid w:val="0059597A"/>
    <w:rsid w:val="005C384D"/>
    <w:rsid w:val="005F0428"/>
    <w:rsid w:val="00601AE5"/>
    <w:rsid w:val="00622E82"/>
    <w:rsid w:val="006954BF"/>
    <w:rsid w:val="00722D32"/>
    <w:rsid w:val="00723FBB"/>
    <w:rsid w:val="00740031"/>
    <w:rsid w:val="00745992"/>
    <w:rsid w:val="00746DAF"/>
    <w:rsid w:val="007663EF"/>
    <w:rsid w:val="00770198"/>
    <w:rsid w:val="007B276D"/>
    <w:rsid w:val="007D3846"/>
    <w:rsid w:val="00806CC6"/>
    <w:rsid w:val="00807045"/>
    <w:rsid w:val="00815C4B"/>
    <w:rsid w:val="00857837"/>
    <w:rsid w:val="0089282A"/>
    <w:rsid w:val="008B501D"/>
    <w:rsid w:val="00942596"/>
    <w:rsid w:val="00971A2E"/>
    <w:rsid w:val="009A3FBB"/>
    <w:rsid w:val="009C3948"/>
    <w:rsid w:val="009E4C36"/>
    <w:rsid w:val="00A12A00"/>
    <w:rsid w:val="00A13E15"/>
    <w:rsid w:val="00A26DC8"/>
    <w:rsid w:val="00A31D89"/>
    <w:rsid w:val="00A35501"/>
    <w:rsid w:val="00A35B84"/>
    <w:rsid w:val="00A3789D"/>
    <w:rsid w:val="00A64FF7"/>
    <w:rsid w:val="00A736EA"/>
    <w:rsid w:val="00A73987"/>
    <w:rsid w:val="00A752E3"/>
    <w:rsid w:val="00A77617"/>
    <w:rsid w:val="00AE2415"/>
    <w:rsid w:val="00AE2F02"/>
    <w:rsid w:val="00AF32ED"/>
    <w:rsid w:val="00B03AD0"/>
    <w:rsid w:val="00B2091C"/>
    <w:rsid w:val="00B27940"/>
    <w:rsid w:val="00B36C0B"/>
    <w:rsid w:val="00B61635"/>
    <w:rsid w:val="00B62C43"/>
    <w:rsid w:val="00B74A8E"/>
    <w:rsid w:val="00BA7E90"/>
    <w:rsid w:val="00C37526"/>
    <w:rsid w:val="00C428EB"/>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71E11"/>
    <w:rsid w:val="00EA359C"/>
    <w:rsid w:val="00EB321B"/>
    <w:rsid w:val="00ED0CE4"/>
    <w:rsid w:val="00ED3F0F"/>
    <w:rsid w:val="00EF2C5B"/>
    <w:rsid w:val="00F30AB2"/>
    <w:rsid w:val="00F51569"/>
    <w:rsid w:val="00F8667C"/>
    <w:rsid w:val="00FD1DC5"/>
    <w:rsid w:val="00FD46DF"/>
    <w:rsid w:val="00FE2A50"/>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967DF2"/>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2303</Words>
  <Characters>2589</Characters>
  <Lines>19</Lines>
  <Paragraphs>5</Paragraphs>
  <TotalTime>0</TotalTime>
  <ScaleCrop>false</ScaleCrop>
  <LinksUpToDate>false</LinksUpToDate>
  <CharactersWithSpaces>2663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2025-04-09T02:47:04Z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