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CF22875">
      <w:pPr>
        <w:jc w:val="center"/>
        <w:rPr>
          <w:rFonts w:hint="eastAsia" w:ascii="黑体" w:hAnsi="黑体" w:eastAsia="黑体" w:cs="黑体"/>
          <w:sz w:val="52"/>
          <w:szCs w:val="52"/>
          <w:highlight w:val="none"/>
        </w:rPr>
      </w:pPr>
      <w:r>
        <w:rPr>
          <w:rFonts w:hint="eastAsia" w:ascii="黑体" w:hAnsi="黑体" w:eastAsia="黑体" w:cs="黑体"/>
          <w:sz w:val="52"/>
          <w:szCs w:val="52"/>
          <w:highlight w:val="none"/>
          <w:lang w:eastAsia="zh-CN"/>
        </w:rPr>
        <w:t>永吉县第二十五中学</w:t>
      </w:r>
      <w:r>
        <w:rPr>
          <w:rFonts w:hint="eastAsia" w:ascii="黑体" w:hAnsi="黑体" w:eastAsia="黑体" w:cs="黑体"/>
          <w:sz w:val="52"/>
          <w:szCs w:val="52"/>
          <w:highlight w:val="none"/>
        </w:rPr>
        <w:t>202</w:t>
      </w:r>
      <w:r>
        <w:rPr>
          <w:rFonts w:hint="eastAsia" w:ascii="黑体" w:hAnsi="黑体" w:eastAsia="黑体" w:cs="黑体"/>
          <w:sz w:val="52"/>
          <w:szCs w:val="52"/>
          <w:highlight w:val="none"/>
          <w:lang w:val="en-US" w:eastAsia="zh-CN"/>
        </w:rPr>
        <w:t>5</w:t>
      </w:r>
      <w:r>
        <w:rPr>
          <w:rFonts w:hint="eastAsia" w:ascii="黑体" w:hAnsi="黑体" w:eastAsia="黑体" w:cs="黑体"/>
          <w:sz w:val="52"/>
          <w:szCs w:val="52"/>
          <w:highlight w:val="none"/>
        </w:rPr>
        <w:t>年部门预算</w:t>
      </w:r>
    </w:p>
    <w:p w14:paraId="56CD911D">
      <w:pPr>
        <w:jc w:val="center"/>
        <w:rPr>
          <w:rFonts w:hint="eastAsia" w:ascii="黑体" w:hAnsi="黑体" w:eastAsia="黑体" w:cs="黑体"/>
          <w:sz w:val="44"/>
          <w:szCs w:val="44"/>
          <w:highlight w:val="none"/>
        </w:rPr>
      </w:pPr>
    </w:p>
    <w:p w14:paraId="7A254A2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0B6A4801">
      <w:pPr>
        <w:jc w:val="center"/>
        <w:rPr>
          <w:rFonts w:hint="eastAsia" w:ascii="黑体" w:hAnsi="黑体" w:eastAsia="黑体" w:cs="黑体"/>
          <w:sz w:val="44"/>
          <w:szCs w:val="44"/>
          <w:highlight w:val="none"/>
        </w:rPr>
      </w:pPr>
      <w:r>
        <w:rPr>
          <w:rFonts w:hint="eastAsia" w:ascii="黑体" w:hAnsi="黑体" w:eastAsia="黑体" w:cs="黑体"/>
          <w:sz w:val="44"/>
          <w:szCs w:val="44"/>
          <w:highlight w:val="none"/>
        </w:rPr>
        <w:t>二〇二</w:t>
      </w:r>
      <w:r>
        <w:rPr>
          <w:rFonts w:hint="eastAsia" w:ascii="黑体" w:hAnsi="黑体" w:eastAsia="黑体" w:cs="黑体"/>
          <w:sz w:val="44"/>
          <w:szCs w:val="44"/>
          <w:highlight w:val="none"/>
          <w:lang w:val="en-US" w:eastAsia="zh-CN"/>
        </w:rPr>
        <w:t>五</w:t>
      </w:r>
      <w:r>
        <w:rPr>
          <w:rFonts w:hint="eastAsia" w:ascii="黑体" w:hAnsi="黑体" w:eastAsia="黑体" w:cs="黑体"/>
          <w:sz w:val="44"/>
          <w:szCs w:val="44"/>
          <w:highlight w:val="none"/>
        </w:rPr>
        <w:t>年一月</w:t>
      </w:r>
      <w:r>
        <w:rPr>
          <w:rFonts w:hint="eastAsia" w:ascii="黑体" w:hAnsi="黑体" w:eastAsia="黑体" w:cs="黑体"/>
          <w:sz w:val="44"/>
          <w:szCs w:val="44"/>
          <w:highlight w:val="none"/>
          <w:lang w:eastAsia="zh-CN"/>
        </w:rPr>
        <w:t>三</w:t>
      </w:r>
      <w:r>
        <w:rPr>
          <w:rFonts w:hint="eastAsia" w:ascii="黑体" w:hAnsi="黑体" w:eastAsia="黑体" w:cs="黑体"/>
          <w:sz w:val="44"/>
          <w:szCs w:val="44"/>
          <w:highlight w:val="none"/>
        </w:rPr>
        <w:t>日</w:t>
      </w:r>
    </w:p>
    <w:p w14:paraId="54F4625D">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74A34429">
      <w:pPr>
        <w:jc w:val="both"/>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cs="黑体"/>
          <w:sz w:val="44"/>
          <w:szCs w:val="44"/>
          <w:highlight w:val="none"/>
          <w:lang w:eastAsia="zh-CN"/>
        </w:rPr>
        <w:t>永吉县第二十五中学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hint="eastAsia" w:ascii="仿宋" w:hAnsi="仿宋" w:eastAsia="仿宋" w:cs="仿宋"/>
          <w:sz w:val="32"/>
          <w:szCs w:val="32"/>
        </w:rPr>
      </w:pPr>
    </w:p>
    <w:p w14:paraId="4E48F873">
      <w:pPr>
        <w:jc w:val="center"/>
        <w:rPr>
          <w:rFonts w:hint="eastAsia" w:ascii="仿宋" w:hAnsi="仿宋" w:eastAsia="仿宋" w:cs="仿宋"/>
          <w:sz w:val="32"/>
          <w:szCs w:val="32"/>
        </w:rPr>
      </w:pPr>
      <w:r>
        <w:rPr>
          <w:rFonts w:hint="eastAsia" w:ascii="仿宋" w:hAnsi="仿宋" w:eastAsia="仿宋" w:cs="仿宋"/>
          <w:sz w:val="32"/>
          <w:szCs w:val="32"/>
        </w:rPr>
        <w:t>第一部分    部门（单位）概况</w:t>
      </w:r>
    </w:p>
    <w:p w14:paraId="519B9A34">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5CA61691">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4FDDDCFF">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一、主要职能</w:t>
      </w:r>
    </w:p>
    <w:p w14:paraId="4005F599">
      <w:pPr>
        <w:pStyle w:val="10"/>
        <w:widowControl/>
        <w:spacing w:line="620" w:lineRule="exact"/>
        <w:ind w:firstLine="627" w:firstLineChars="196"/>
        <w:contextualSpacing/>
        <w:rPr>
          <w:rFonts w:hint="eastAsia" w:ascii="仿宋" w:hAnsi="仿宋" w:eastAsia="仿宋" w:cs="仿宋"/>
          <w:bCs/>
          <w:kern w:val="0"/>
          <w:sz w:val="32"/>
          <w:szCs w:val="32"/>
          <w:highlight w:val="none"/>
          <w:lang w:val="en-US" w:eastAsia="zh-CN"/>
        </w:rPr>
      </w:pPr>
      <w:r>
        <w:rPr>
          <w:rFonts w:hint="eastAsia" w:ascii="仿宋" w:hAnsi="仿宋" w:eastAsia="仿宋" w:cs="仿宋"/>
          <w:bCs/>
          <w:sz w:val="32"/>
          <w:szCs w:val="32"/>
          <w:highlight w:val="none"/>
        </w:rPr>
        <w:t>单位</w:t>
      </w:r>
      <w:r>
        <w:rPr>
          <w:rFonts w:hint="eastAsia" w:ascii="仿宋" w:hAnsi="仿宋" w:eastAsia="仿宋" w:cs="仿宋"/>
          <w:bCs/>
          <w:kern w:val="0"/>
          <w:sz w:val="32"/>
          <w:szCs w:val="32"/>
          <w:highlight w:val="none"/>
        </w:rPr>
        <w:t>名称：</w:t>
      </w:r>
      <w:r>
        <w:rPr>
          <w:rFonts w:hint="eastAsia" w:ascii="仿宋" w:hAnsi="仿宋" w:eastAsia="仿宋" w:cs="仿宋"/>
          <w:bCs/>
          <w:kern w:val="0"/>
          <w:sz w:val="32"/>
          <w:szCs w:val="32"/>
          <w:highlight w:val="none"/>
          <w:lang w:val="en-US" w:eastAsia="zh-CN"/>
        </w:rPr>
        <w:t>永吉县第二十五中学</w:t>
      </w:r>
    </w:p>
    <w:p w14:paraId="2D30F10F">
      <w:pPr>
        <w:pStyle w:val="10"/>
        <w:widowControl/>
        <w:spacing w:line="620" w:lineRule="exact"/>
        <w:ind w:firstLine="627" w:firstLineChars="196"/>
        <w:contextualSpacing/>
        <w:rPr>
          <w:rFonts w:hint="eastAsia" w:ascii="仿宋" w:hAnsi="仿宋" w:eastAsia="仿宋" w:cs="仿宋"/>
          <w:kern w:val="0"/>
          <w:sz w:val="32"/>
          <w:szCs w:val="32"/>
          <w:highlight w:val="none"/>
          <w:lang w:val="en-US" w:eastAsia="zh-CN"/>
        </w:rPr>
      </w:pPr>
      <w:r>
        <w:rPr>
          <w:rFonts w:hint="eastAsia" w:ascii="仿宋" w:hAnsi="仿宋" w:eastAsia="仿宋" w:cs="仿宋"/>
          <w:bCs/>
          <w:kern w:val="0"/>
          <w:sz w:val="32"/>
          <w:szCs w:val="32"/>
          <w:highlight w:val="none"/>
        </w:rPr>
        <w:t>单位性质</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val="en-US" w:eastAsia="zh-CN"/>
        </w:rPr>
        <w:t>全额拨款</w:t>
      </w:r>
    </w:p>
    <w:p w14:paraId="400B08E6">
      <w:pPr>
        <w:ind w:firstLine="640" w:firstLineChars="200"/>
        <w:rPr>
          <w:rFonts w:hint="eastAsia" w:ascii="仿宋" w:hAnsi="仿宋" w:eastAsia="仿宋" w:cs="仿宋"/>
          <w:bCs/>
          <w:kern w:val="0"/>
          <w:sz w:val="32"/>
          <w:szCs w:val="32"/>
          <w:highlight w:val="none"/>
        </w:rPr>
      </w:pPr>
      <w:r>
        <w:rPr>
          <w:rFonts w:hint="eastAsia" w:ascii="仿宋" w:hAnsi="仿宋" w:eastAsia="仿宋" w:cs="仿宋"/>
          <w:bCs/>
          <w:kern w:val="0"/>
          <w:sz w:val="32"/>
          <w:szCs w:val="32"/>
          <w:highlight w:val="none"/>
        </w:rPr>
        <w:t>主要职能：</w:t>
      </w:r>
    </w:p>
    <w:p w14:paraId="595FCA79">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1、遵守法律、法规；</w:t>
      </w:r>
    </w:p>
    <w:p w14:paraId="491F7734">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2、贯彻国家的教育方针，执行国家教育教学标准，保证教育教学质量；</w:t>
      </w:r>
    </w:p>
    <w:p w14:paraId="0D96AABD">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3、维护受教育者、教师及其他职工的合法权益；</w:t>
      </w:r>
    </w:p>
    <w:p w14:paraId="2BE07A79">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4、以适当方式为受教育者及其监护人了解受教育者的学业成绩及其他有关情况提供便利；</w:t>
      </w:r>
    </w:p>
    <w:p w14:paraId="64C81598">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5、依法接受监督；</w:t>
      </w:r>
    </w:p>
    <w:p w14:paraId="23C4AE50">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6、按照章程自主管理；</w:t>
      </w:r>
    </w:p>
    <w:p w14:paraId="7534DC42">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7、组织实施教育教学活动；</w:t>
      </w:r>
    </w:p>
    <w:p w14:paraId="5A580962">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8、对受教育者进行学籍管理，实施奖励或者处分；</w:t>
      </w:r>
    </w:p>
    <w:p w14:paraId="2E3BBA12">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9、对受教育者颁发相应的学业证书；</w:t>
      </w:r>
    </w:p>
    <w:p w14:paraId="4DE675BE">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10、聘任教师及其他职工，实施奖励或者处分；</w:t>
      </w:r>
    </w:p>
    <w:p w14:paraId="6B701794">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11、管理、使用本单位的设施和经费；</w:t>
      </w:r>
    </w:p>
    <w:p w14:paraId="426F565A">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12、拒绝任何组织和个人对教育教学活动的非法干涉。</w:t>
      </w:r>
    </w:p>
    <w:p w14:paraId="7C4BD274">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主要业务：</w:t>
      </w:r>
    </w:p>
    <w:p w14:paraId="28BEE5ED">
      <w:pPr>
        <w:pStyle w:val="10"/>
        <w:widowControl/>
        <w:spacing w:line="620" w:lineRule="exact"/>
        <w:ind w:firstLine="320" w:firstLineChars="100"/>
        <w:contextualSpacing/>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实施中学义务教育 促进基础教育发展 初中学历教育</w:t>
      </w:r>
    </w:p>
    <w:p w14:paraId="79AE6291">
      <w:pPr>
        <w:pStyle w:val="10"/>
        <w:widowControl/>
        <w:spacing w:line="620" w:lineRule="exact"/>
        <w:ind w:firstLine="320" w:firstLineChars="1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二、机构设置</w:t>
      </w:r>
    </w:p>
    <w:p w14:paraId="77EA902B">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本部门内设机构（二级单位）1个：永吉县第二十五中学。</w:t>
      </w:r>
    </w:p>
    <w:p w14:paraId="2CB17F7F">
      <w:pPr>
        <w:ind w:firstLine="640" w:firstLineChars="200"/>
        <w:jc w:val="left"/>
        <w:rPr>
          <w:rFonts w:ascii="仿宋" w:hAnsi="仿宋" w:eastAsia="仿宋"/>
          <w:sz w:val="32"/>
          <w:szCs w:val="32"/>
        </w:rPr>
      </w:pPr>
      <w:r>
        <w:rPr>
          <w:rFonts w:hint="eastAsia" w:ascii="仿宋" w:hAnsi="仿宋" w:eastAsia="仿宋" w:cs="仿宋"/>
          <w:sz w:val="32"/>
          <w:szCs w:val="32"/>
        </w:rPr>
        <w:t>人员情况：在职人员3</w:t>
      </w:r>
      <w:r>
        <w:rPr>
          <w:rFonts w:hint="eastAsia" w:ascii="仿宋" w:hAnsi="仿宋" w:eastAsia="仿宋" w:cs="仿宋"/>
          <w:sz w:val="32"/>
          <w:szCs w:val="32"/>
          <w:lang w:val="en-US" w:eastAsia="zh-CN"/>
        </w:rPr>
        <w:t>6</w:t>
      </w:r>
      <w:r>
        <w:rPr>
          <w:rFonts w:hint="eastAsia" w:ascii="仿宋" w:hAnsi="仿宋" w:eastAsia="仿宋" w:cs="仿宋"/>
          <w:sz w:val="32"/>
          <w:szCs w:val="32"/>
        </w:rPr>
        <w:t>人，编制数41人，领导职数</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人。  </w:t>
      </w: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036B5879">
      <w:pPr>
        <w:jc w:val="center"/>
        <w:rPr>
          <w:rFonts w:hint="eastAsia" w:ascii="黑体" w:hAnsi="黑体" w:eastAsia="黑体"/>
          <w:sz w:val="32"/>
          <w:szCs w:val="32"/>
        </w:rPr>
      </w:pPr>
    </w:p>
    <w:p w14:paraId="44129B0B">
      <w:pPr>
        <w:jc w:val="center"/>
        <w:rPr>
          <w:rFonts w:hint="eastAsia" w:ascii="黑体" w:hAnsi="黑体" w:eastAsia="黑体"/>
          <w:sz w:val="32"/>
          <w:szCs w:val="32"/>
        </w:rPr>
      </w:pPr>
    </w:p>
    <w:p w14:paraId="6B25C8B4">
      <w:pPr>
        <w:jc w:val="center"/>
        <w:rPr>
          <w:rFonts w:hint="eastAsia" w:ascii="黑体" w:hAnsi="黑体" w:eastAsia="黑体"/>
          <w:sz w:val="32"/>
          <w:szCs w:val="32"/>
        </w:rPr>
      </w:pPr>
    </w:p>
    <w:p w14:paraId="579CDE6F">
      <w:pPr>
        <w:jc w:val="center"/>
        <w:rPr>
          <w:rFonts w:hint="eastAsia" w:ascii="黑体" w:hAnsi="黑体" w:eastAsia="黑体"/>
          <w:sz w:val="32"/>
          <w:szCs w:val="32"/>
        </w:rPr>
      </w:pPr>
    </w:p>
    <w:p w14:paraId="5B67BE87">
      <w:pPr>
        <w:jc w:val="center"/>
        <w:rPr>
          <w:rFonts w:hint="eastAsia" w:ascii="黑体" w:hAnsi="黑体" w:eastAsia="黑体"/>
          <w:sz w:val="32"/>
          <w:szCs w:val="32"/>
        </w:rPr>
      </w:pPr>
    </w:p>
    <w:p w14:paraId="77A11A22">
      <w:pPr>
        <w:jc w:val="center"/>
        <w:rPr>
          <w:rFonts w:hint="eastAsia" w:ascii="黑体" w:hAnsi="黑体" w:eastAsia="黑体"/>
          <w:sz w:val="32"/>
          <w:szCs w:val="32"/>
        </w:rPr>
      </w:pPr>
    </w:p>
    <w:p w14:paraId="09B598D9">
      <w:pPr>
        <w:jc w:val="center"/>
        <w:rPr>
          <w:rFonts w:hint="eastAsia" w:ascii="黑体" w:hAnsi="黑体" w:eastAsia="黑体"/>
          <w:sz w:val="32"/>
          <w:szCs w:val="32"/>
        </w:rPr>
      </w:pPr>
    </w:p>
    <w:p w14:paraId="168A0EF0">
      <w:pPr>
        <w:jc w:val="center"/>
        <w:rPr>
          <w:rFonts w:hint="eastAsia" w:ascii="黑体" w:hAnsi="黑体" w:eastAsia="黑体"/>
          <w:sz w:val="32"/>
          <w:szCs w:val="32"/>
        </w:rPr>
      </w:pPr>
    </w:p>
    <w:p w14:paraId="3D0BC02D">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383.95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502.95</w:t>
      </w:r>
      <w:r>
        <w:rPr>
          <w:rFonts w:hint="eastAsia" w:ascii="仿宋" w:hAnsi="仿宋" w:eastAsia="仿宋"/>
          <w:sz w:val="32"/>
          <w:szCs w:val="32"/>
        </w:rPr>
        <w:t>万元减</w:t>
      </w:r>
      <w:r>
        <w:rPr>
          <w:rFonts w:hint="eastAsia" w:ascii="仿宋" w:hAnsi="仿宋" w:eastAsia="仿宋"/>
          <w:sz w:val="32"/>
          <w:szCs w:val="32"/>
          <w:lang w:val="en-US" w:eastAsia="zh-CN"/>
        </w:rPr>
        <w:t>少119</w:t>
      </w:r>
      <w:r>
        <w:rPr>
          <w:rFonts w:hint="eastAsia" w:ascii="仿宋" w:hAnsi="仿宋" w:eastAsia="仿宋"/>
          <w:sz w:val="32"/>
          <w:szCs w:val="32"/>
        </w:rPr>
        <w:t>万元，主要原因：</w:t>
      </w:r>
      <w:r>
        <w:rPr>
          <w:rFonts w:hint="eastAsia" w:ascii="仿宋" w:hAnsi="仿宋" w:eastAsia="仿宋"/>
          <w:sz w:val="32"/>
          <w:szCs w:val="32"/>
          <w:lang w:val="en-US" w:eastAsia="zh-CN"/>
        </w:rPr>
        <w:t>2024年末，永吉县统一清编，本单位调出11人，退休1人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383.95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383.95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383.95</w:t>
      </w:r>
      <w:r>
        <w:rPr>
          <w:rFonts w:hint="eastAsia" w:ascii="仿宋" w:hAnsi="仿宋" w:eastAsia="仿宋"/>
          <w:sz w:val="32"/>
          <w:szCs w:val="32"/>
        </w:rPr>
        <w:t>万元，其中：基本支出</w:t>
      </w:r>
      <w:r>
        <w:rPr>
          <w:rFonts w:hint="eastAsia" w:ascii="仿宋" w:hAnsi="仿宋" w:eastAsia="仿宋"/>
          <w:sz w:val="32"/>
          <w:szCs w:val="32"/>
          <w:lang w:val="en-US" w:eastAsia="zh-CN"/>
        </w:rPr>
        <w:t>381.23</w:t>
      </w:r>
      <w:r>
        <w:rPr>
          <w:rFonts w:hint="eastAsia" w:ascii="仿宋" w:hAnsi="仿宋" w:eastAsia="仿宋"/>
          <w:sz w:val="32"/>
          <w:szCs w:val="32"/>
        </w:rPr>
        <w:t>万元，占</w:t>
      </w:r>
      <w:r>
        <w:rPr>
          <w:rFonts w:hint="eastAsia" w:ascii="仿宋" w:hAnsi="仿宋" w:eastAsia="仿宋"/>
          <w:sz w:val="32"/>
          <w:szCs w:val="32"/>
          <w:lang w:val="en-US" w:eastAsia="zh-CN"/>
        </w:rPr>
        <w:t>99.29</w:t>
      </w:r>
      <w:r>
        <w:rPr>
          <w:rFonts w:hint="eastAsia" w:ascii="仿宋" w:hAnsi="仿宋" w:eastAsia="仿宋"/>
          <w:sz w:val="32"/>
          <w:szCs w:val="32"/>
        </w:rPr>
        <w:t>%；项目支出</w:t>
      </w:r>
      <w:r>
        <w:rPr>
          <w:rFonts w:hint="eastAsia" w:ascii="仿宋" w:hAnsi="仿宋" w:eastAsia="仿宋"/>
          <w:sz w:val="32"/>
          <w:szCs w:val="32"/>
          <w:lang w:val="en-US" w:eastAsia="zh-CN"/>
        </w:rPr>
        <w:t>2.72</w:t>
      </w:r>
      <w:r>
        <w:rPr>
          <w:rFonts w:hint="eastAsia" w:ascii="仿宋" w:hAnsi="仿宋" w:eastAsia="仿宋"/>
          <w:sz w:val="32"/>
          <w:szCs w:val="32"/>
        </w:rPr>
        <w:t>万元，占</w:t>
      </w:r>
      <w:r>
        <w:rPr>
          <w:rFonts w:hint="eastAsia" w:ascii="仿宋" w:hAnsi="仿宋" w:eastAsia="仿宋"/>
          <w:sz w:val="32"/>
          <w:szCs w:val="32"/>
          <w:lang w:val="en-US" w:eastAsia="zh-CN"/>
        </w:rPr>
        <w:t>0.71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383.95</w:t>
      </w:r>
      <w:r>
        <w:rPr>
          <w:rFonts w:hint="eastAsia" w:ascii="仿宋" w:hAnsi="仿宋" w:eastAsia="仿宋"/>
          <w:sz w:val="32"/>
          <w:szCs w:val="32"/>
        </w:rPr>
        <w:t>万元，其中：本年收入</w:t>
      </w:r>
      <w:r>
        <w:rPr>
          <w:rFonts w:hint="eastAsia" w:ascii="仿宋" w:hAnsi="仿宋" w:eastAsia="仿宋"/>
          <w:sz w:val="32"/>
          <w:szCs w:val="32"/>
          <w:lang w:val="en-US" w:eastAsia="zh-CN"/>
        </w:rPr>
        <w:t>383.95</w:t>
      </w:r>
      <w:r>
        <w:rPr>
          <w:rFonts w:hint="eastAsia" w:ascii="仿宋" w:hAnsi="仿宋" w:eastAsia="仿宋"/>
          <w:sz w:val="32"/>
          <w:szCs w:val="32"/>
        </w:rPr>
        <w:t>万元。本年支出</w:t>
      </w:r>
      <w:r>
        <w:rPr>
          <w:rFonts w:hint="eastAsia" w:ascii="仿宋" w:hAnsi="仿宋" w:eastAsia="仿宋"/>
          <w:sz w:val="32"/>
          <w:szCs w:val="32"/>
          <w:lang w:val="en-US" w:eastAsia="zh-CN"/>
        </w:rPr>
        <w:t>383.95</w:t>
      </w:r>
      <w:r>
        <w:rPr>
          <w:rFonts w:hint="eastAsia" w:ascii="仿宋" w:hAnsi="仿宋" w:eastAsia="仿宋"/>
          <w:sz w:val="32"/>
          <w:szCs w:val="32"/>
        </w:rPr>
        <w:t>万元，支出包括：教育支出</w:t>
      </w:r>
      <w:r>
        <w:rPr>
          <w:rFonts w:hint="eastAsia" w:ascii="仿宋" w:hAnsi="仿宋" w:eastAsia="仿宋"/>
          <w:sz w:val="32"/>
          <w:szCs w:val="32"/>
          <w:lang w:val="en-US" w:eastAsia="zh-CN"/>
        </w:rPr>
        <w:t>311.93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40.82</w:t>
      </w:r>
      <w:r>
        <w:rPr>
          <w:rFonts w:hint="eastAsia" w:ascii="仿宋" w:hAnsi="仿宋" w:eastAsia="仿宋"/>
          <w:sz w:val="32"/>
          <w:szCs w:val="32"/>
        </w:rPr>
        <w:t>万元，住房保障支出</w:t>
      </w:r>
      <w:r>
        <w:rPr>
          <w:rFonts w:hint="eastAsia" w:ascii="仿宋" w:hAnsi="仿宋" w:eastAsia="仿宋"/>
          <w:sz w:val="32"/>
          <w:szCs w:val="32"/>
          <w:lang w:val="en-US" w:eastAsia="zh-CN"/>
        </w:rPr>
        <w:t>31.2</w:t>
      </w:r>
      <w:r>
        <w:rPr>
          <w:rFonts w:hint="eastAsia" w:ascii="仿宋" w:hAnsi="仿宋" w:eastAsia="仿宋"/>
          <w:sz w:val="32"/>
          <w:szCs w:val="32"/>
        </w:rPr>
        <w:t>万元。</w:t>
      </w:r>
    </w:p>
    <w:p w14:paraId="113EA7E6">
      <w:pPr>
        <w:pStyle w:val="11"/>
        <w:ind w:firstLine="640"/>
        <w:rPr>
          <w:rFonts w:hint="eastAsia" w:ascii="楷体" w:hAnsi="楷体" w:eastAsia="楷体"/>
          <w:kern w:val="0"/>
          <w:sz w:val="32"/>
          <w:szCs w:val="32"/>
        </w:rPr>
      </w:pP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6F9B7CE7">
      <w:pPr>
        <w:pStyle w:val="11"/>
        <w:ind w:firstLine="640"/>
        <w:rPr>
          <w:rFonts w:hint="eastAsia" w:ascii="楷体" w:hAnsi="楷体" w:eastAsia="楷体"/>
          <w:kern w:val="0"/>
          <w:sz w:val="32"/>
          <w:szCs w:val="32"/>
        </w:rPr>
      </w:pP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383.95</w:t>
      </w:r>
      <w:r>
        <w:rPr>
          <w:rFonts w:hint="eastAsia" w:ascii="仿宋" w:hAnsi="仿宋" w:eastAsia="仿宋"/>
          <w:sz w:val="32"/>
          <w:szCs w:val="32"/>
        </w:rPr>
        <w:t>万元，其中：基本支出</w:t>
      </w:r>
      <w:r>
        <w:rPr>
          <w:rFonts w:hint="eastAsia" w:ascii="仿宋" w:hAnsi="仿宋" w:eastAsia="仿宋"/>
          <w:sz w:val="32"/>
          <w:szCs w:val="32"/>
          <w:lang w:val="en-US" w:eastAsia="zh-CN"/>
        </w:rPr>
        <w:t>381.23</w:t>
      </w:r>
      <w:r>
        <w:rPr>
          <w:rFonts w:hint="eastAsia" w:ascii="仿宋" w:hAnsi="仿宋" w:eastAsia="仿宋"/>
          <w:sz w:val="32"/>
          <w:szCs w:val="32"/>
        </w:rPr>
        <w:t>万元，占</w:t>
      </w:r>
      <w:r>
        <w:rPr>
          <w:rFonts w:hint="eastAsia" w:ascii="仿宋" w:hAnsi="仿宋" w:eastAsia="仿宋"/>
          <w:sz w:val="32"/>
          <w:szCs w:val="32"/>
          <w:lang w:val="en-US" w:eastAsia="zh-CN"/>
        </w:rPr>
        <w:t>99.29</w:t>
      </w:r>
      <w:r>
        <w:rPr>
          <w:rFonts w:hint="eastAsia" w:ascii="仿宋" w:hAnsi="仿宋" w:eastAsia="仿宋"/>
          <w:sz w:val="32"/>
          <w:szCs w:val="32"/>
        </w:rPr>
        <w:t>%；项目支出</w:t>
      </w:r>
      <w:r>
        <w:rPr>
          <w:rFonts w:hint="eastAsia" w:ascii="仿宋" w:hAnsi="仿宋" w:eastAsia="仿宋"/>
          <w:sz w:val="32"/>
          <w:szCs w:val="32"/>
          <w:lang w:val="en-US" w:eastAsia="zh-CN"/>
        </w:rPr>
        <w:t>2.72</w:t>
      </w:r>
      <w:r>
        <w:rPr>
          <w:rFonts w:hint="eastAsia" w:ascii="仿宋" w:hAnsi="仿宋" w:eastAsia="仿宋"/>
          <w:sz w:val="32"/>
          <w:szCs w:val="32"/>
        </w:rPr>
        <w:t>万元，占</w:t>
      </w:r>
      <w:r>
        <w:rPr>
          <w:rFonts w:hint="eastAsia" w:ascii="仿宋" w:hAnsi="仿宋" w:eastAsia="仿宋"/>
          <w:sz w:val="32"/>
          <w:szCs w:val="32"/>
          <w:lang w:val="en-US" w:eastAsia="zh-CN"/>
        </w:rPr>
        <w:t>0.71</w:t>
      </w:r>
      <w:r>
        <w:rPr>
          <w:rFonts w:hint="eastAsia" w:ascii="仿宋" w:hAnsi="仿宋" w:eastAsia="仿宋"/>
          <w:sz w:val="32"/>
          <w:szCs w:val="32"/>
        </w:rPr>
        <w:t>%。基本支出中，人员经费</w:t>
      </w:r>
      <w:r>
        <w:rPr>
          <w:rFonts w:hint="eastAsia" w:ascii="仿宋" w:hAnsi="仿宋" w:eastAsia="仿宋"/>
          <w:sz w:val="32"/>
          <w:szCs w:val="32"/>
          <w:lang w:val="en-US" w:eastAsia="zh-CN"/>
        </w:rPr>
        <w:t>375.42</w:t>
      </w:r>
      <w:r>
        <w:rPr>
          <w:rFonts w:hint="eastAsia" w:ascii="仿宋" w:hAnsi="仿宋" w:eastAsia="仿宋"/>
          <w:sz w:val="32"/>
          <w:szCs w:val="32"/>
        </w:rPr>
        <w:t>万元，占</w:t>
      </w:r>
      <w:r>
        <w:rPr>
          <w:rFonts w:hint="eastAsia" w:ascii="仿宋" w:hAnsi="仿宋" w:eastAsia="仿宋"/>
          <w:sz w:val="32"/>
          <w:szCs w:val="32"/>
          <w:lang w:val="en-US" w:eastAsia="zh-CN"/>
        </w:rPr>
        <w:t>98.47</w:t>
      </w:r>
      <w:r>
        <w:rPr>
          <w:rFonts w:hint="eastAsia" w:ascii="仿宋" w:hAnsi="仿宋" w:eastAsia="仿宋"/>
          <w:sz w:val="32"/>
          <w:szCs w:val="32"/>
        </w:rPr>
        <w:t>%；公用经费</w:t>
      </w:r>
      <w:r>
        <w:rPr>
          <w:rFonts w:hint="eastAsia" w:ascii="仿宋" w:hAnsi="仿宋" w:eastAsia="仿宋"/>
          <w:sz w:val="32"/>
          <w:szCs w:val="32"/>
          <w:lang w:val="en-US" w:eastAsia="zh-CN"/>
        </w:rPr>
        <w:t>1.53</w:t>
      </w:r>
      <w:r>
        <w:rPr>
          <w:rFonts w:hint="eastAsia" w:ascii="仿宋" w:hAnsi="仿宋" w:eastAsia="仿宋"/>
          <w:sz w:val="32"/>
          <w:szCs w:val="32"/>
        </w:rPr>
        <w:t>万元，占</w:t>
      </w:r>
      <w:r>
        <w:rPr>
          <w:rFonts w:hint="eastAsia" w:ascii="仿宋" w:hAnsi="仿宋" w:eastAsia="仿宋"/>
          <w:sz w:val="32"/>
          <w:szCs w:val="32"/>
          <w:lang w:val="en-US" w:eastAsia="zh-CN"/>
        </w:rPr>
        <w:t>1.48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311.92</w:t>
      </w:r>
      <w:r>
        <w:rPr>
          <w:rFonts w:hint="eastAsia" w:ascii="仿宋" w:hAnsi="仿宋" w:eastAsia="仿宋"/>
          <w:sz w:val="32"/>
          <w:szCs w:val="32"/>
        </w:rPr>
        <w:t>万元，占</w:t>
      </w:r>
      <w:r>
        <w:rPr>
          <w:rFonts w:hint="eastAsia" w:ascii="仿宋" w:hAnsi="仿宋" w:eastAsia="仿宋"/>
          <w:sz w:val="32"/>
          <w:szCs w:val="32"/>
          <w:lang w:val="en-US" w:eastAsia="zh-CN"/>
        </w:rPr>
        <w:t>81.23</w:t>
      </w:r>
      <w:r>
        <w:rPr>
          <w:rFonts w:hint="eastAsia" w:ascii="仿宋" w:hAnsi="仿宋" w:eastAsia="仿宋"/>
          <w:sz w:val="32"/>
          <w:szCs w:val="32"/>
        </w:rPr>
        <w:t>%，主要用于：人员工资福利支出、医保缴费支出、其他社会保障缴费、生活补助及商品服务支出。</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40.81</w:t>
      </w:r>
      <w:r>
        <w:rPr>
          <w:rFonts w:hint="eastAsia" w:ascii="仿宋" w:hAnsi="仿宋" w:eastAsia="仿宋"/>
          <w:sz w:val="32"/>
          <w:szCs w:val="32"/>
        </w:rPr>
        <w:t>万元，占</w:t>
      </w:r>
      <w:r>
        <w:rPr>
          <w:rFonts w:hint="eastAsia" w:ascii="仿宋" w:hAnsi="仿宋" w:eastAsia="仿宋"/>
          <w:sz w:val="32"/>
          <w:szCs w:val="32"/>
          <w:lang w:val="en-US" w:eastAsia="zh-CN"/>
        </w:rPr>
        <w:t>10.62</w:t>
      </w:r>
      <w:r>
        <w:rPr>
          <w:rFonts w:hint="eastAsia" w:ascii="仿宋" w:hAnsi="仿宋" w:eastAsia="仿宋"/>
          <w:sz w:val="32"/>
          <w:szCs w:val="32"/>
        </w:rPr>
        <w:t>%，主要用于：主要用于养老保险缴费支出。</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31.2</w:t>
      </w:r>
      <w:r>
        <w:rPr>
          <w:rFonts w:hint="eastAsia" w:ascii="仿宋" w:hAnsi="仿宋" w:eastAsia="仿宋"/>
          <w:sz w:val="32"/>
          <w:szCs w:val="32"/>
        </w:rPr>
        <w:t>万元，占</w:t>
      </w:r>
      <w:r>
        <w:rPr>
          <w:rFonts w:hint="eastAsia" w:ascii="仿宋" w:hAnsi="仿宋" w:eastAsia="仿宋"/>
          <w:sz w:val="32"/>
          <w:szCs w:val="32"/>
          <w:lang w:val="en-US" w:eastAsia="zh-CN"/>
        </w:rPr>
        <w:t>8.12</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381.22</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375.41</w:t>
      </w:r>
      <w:r>
        <w:rPr>
          <w:rFonts w:hint="eastAsia" w:ascii="仿宋" w:hAnsi="仿宋" w:eastAsia="仿宋"/>
          <w:sz w:val="32"/>
          <w:szCs w:val="32"/>
        </w:rPr>
        <w:t>万元，主要包括：基本工资、津贴补贴、奖金、绩效工资、机关事业单位基本养老保险缴费、职业年金缴费、职工基本医疗保险缴费、其他社会保障缴费、住房公积金、其他对个人和家庭补助支出等；</w:t>
      </w:r>
    </w:p>
    <w:p w14:paraId="5C92AD13">
      <w:pPr>
        <w:pStyle w:val="9"/>
        <w:ind w:firstLine="627" w:firstLineChars="196"/>
        <w:rPr>
          <w:rFonts w:hint="eastAsia" w:ascii="仿宋" w:hAnsi="仿宋" w:eastAsia="仿宋"/>
          <w:kern w:val="0"/>
          <w:sz w:val="32"/>
          <w:szCs w:val="32"/>
          <w:lang w:eastAsia="zh-CN"/>
        </w:rPr>
      </w:pPr>
      <w:r>
        <w:rPr>
          <w:rFonts w:hint="eastAsia" w:ascii="仿宋" w:hAnsi="仿宋" w:eastAsia="仿宋"/>
          <w:sz w:val="32"/>
          <w:szCs w:val="32"/>
        </w:rPr>
        <w:t>公用经费</w:t>
      </w:r>
      <w:r>
        <w:rPr>
          <w:rFonts w:hint="eastAsia" w:ascii="仿宋" w:hAnsi="仿宋" w:eastAsia="仿宋"/>
          <w:sz w:val="32"/>
          <w:szCs w:val="32"/>
          <w:lang w:val="en-US" w:eastAsia="zh-CN"/>
        </w:rPr>
        <w:t>5.81</w:t>
      </w:r>
      <w:r>
        <w:rPr>
          <w:rFonts w:hint="eastAsia" w:ascii="仿宋" w:hAnsi="仿宋" w:eastAsia="仿宋"/>
          <w:sz w:val="32"/>
          <w:szCs w:val="32"/>
        </w:rPr>
        <w:t>万元，主要包括：工会经费</w:t>
      </w:r>
      <w:r>
        <w:rPr>
          <w:rFonts w:hint="eastAsia" w:ascii="仿宋" w:hAnsi="仿宋" w:eastAsia="仿宋"/>
          <w:sz w:val="32"/>
          <w:szCs w:val="32"/>
          <w:lang w:eastAsia="zh-CN"/>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8FAFB27">
      <w:pPr>
        <w:pStyle w:val="9"/>
        <w:ind w:firstLine="640" w:firstLineChars="200"/>
        <w:rPr>
          <w:rFonts w:hint="eastAsia"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2025年本单位无国有资本经营预算支出</w:t>
      </w:r>
      <w:r>
        <w:rPr>
          <w:rFonts w:hint="eastAsia" w:ascii="仿宋" w:hAnsi="仿宋" w:eastAsia="仿宋"/>
          <w:sz w:val="32"/>
          <w:szCs w:val="32"/>
        </w:rPr>
        <w:t>。</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5.81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22.56减少16.75</w:t>
      </w:r>
      <w:r>
        <w:rPr>
          <w:rFonts w:hint="eastAsia" w:ascii="仿宋" w:hAnsi="仿宋" w:eastAsia="仿宋"/>
          <w:sz w:val="32"/>
          <w:szCs w:val="32"/>
        </w:rPr>
        <w:t>万元，</w:t>
      </w:r>
      <w:r>
        <w:rPr>
          <w:rFonts w:hint="eastAsia" w:ascii="仿宋" w:hAnsi="仿宋" w:eastAsia="仿宋"/>
          <w:sz w:val="32"/>
          <w:szCs w:val="32"/>
          <w:lang w:val="en-US" w:eastAsia="zh-CN"/>
        </w:rPr>
        <w:t>下降74.24</w:t>
      </w:r>
      <w:r>
        <w:rPr>
          <w:rFonts w:hint="eastAsia" w:ascii="仿宋" w:hAnsi="仿宋" w:eastAsia="仿宋"/>
          <w:sz w:val="32"/>
          <w:szCs w:val="32"/>
        </w:rPr>
        <w:t>%，主要原因是</w:t>
      </w:r>
      <w:r>
        <w:rPr>
          <w:rFonts w:hint="eastAsia" w:ascii="仿宋" w:hAnsi="仿宋" w:eastAsia="仿宋"/>
          <w:sz w:val="32"/>
          <w:szCs w:val="32"/>
          <w:highlight w:val="none"/>
          <w:lang w:val="en-US" w:eastAsia="zh-CN"/>
        </w:rPr>
        <w:t>本年度此项费用为工会经费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31B1E3BF">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我单位202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年预算暂未安排政府采购项目</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2.72</w:t>
      </w:r>
      <w:r>
        <w:rPr>
          <w:rFonts w:hint="eastAsia" w:ascii="仿宋" w:hAnsi="仿宋" w:eastAsia="仿宋"/>
          <w:sz w:val="32"/>
          <w:szCs w:val="32"/>
        </w:rPr>
        <w:t>万元。</w:t>
      </w:r>
    </w:p>
    <w:p w14:paraId="3C527A83">
      <w:pPr>
        <w:jc w:val="center"/>
        <w:rPr>
          <w:rFonts w:ascii="仿宋" w:hAnsi="仿宋" w:eastAsia="仿宋"/>
          <w:sz w:val="32"/>
          <w:szCs w:val="32"/>
        </w:rPr>
      </w:pPr>
    </w:p>
    <w:p w14:paraId="5694F3E5">
      <w:pPr>
        <w:jc w:val="center"/>
        <w:rPr>
          <w:rFonts w:ascii="仿宋" w:hAnsi="仿宋" w:eastAsia="仿宋"/>
          <w:sz w:val="32"/>
          <w:szCs w:val="32"/>
        </w:rPr>
      </w:pPr>
    </w:p>
    <w:p w14:paraId="6C9BB06F">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57010AF">
      <w:pPr>
        <w:jc w:val="left"/>
        <w:rPr>
          <w:rFonts w:ascii="仿宋" w:hAnsi="仿宋" w:eastAsia="仿宋"/>
          <w:sz w:val="32"/>
          <w:szCs w:val="32"/>
        </w:rPr>
      </w:pPr>
      <w:r>
        <w:rPr>
          <w:rFonts w:hint="eastAsia" w:ascii="仿宋" w:hAnsi="仿宋" w:eastAsia="仿宋"/>
          <w:sz w:val="32"/>
          <w:szCs w:val="32"/>
        </w:rPr>
        <w:t xml:space="preserve"> </w:t>
      </w:r>
    </w:p>
    <w:p w14:paraId="514F5666">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32C6C5C2">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D297BCB"/>
    <w:rsid w:val="1F451F7A"/>
    <w:rsid w:val="20EF71F1"/>
    <w:rsid w:val="21FE2E7E"/>
    <w:rsid w:val="2323212D"/>
    <w:rsid w:val="233A306E"/>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6E86488"/>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1F52311"/>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BB023A"/>
    <w:rsid w:val="50F75E7E"/>
    <w:rsid w:val="51436F0F"/>
    <w:rsid w:val="51BB428B"/>
    <w:rsid w:val="52DF1D28"/>
    <w:rsid w:val="53A4083B"/>
    <w:rsid w:val="54923E8D"/>
    <w:rsid w:val="54941844"/>
    <w:rsid w:val="5538455E"/>
    <w:rsid w:val="566F21D7"/>
    <w:rsid w:val="567F658B"/>
    <w:rsid w:val="56A94595"/>
    <w:rsid w:val="580A299B"/>
    <w:rsid w:val="5B5D76B7"/>
    <w:rsid w:val="5B8E44C5"/>
    <w:rsid w:val="5C0D0A81"/>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2493</Words>
  <Characters>2762</Characters>
  <Lines>22</Lines>
  <Paragraphs>6</Paragraphs>
  <TotalTime>35</TotalTime>
  <ScaleCrop>false</ScaleCrop>
  <LinksUpToDate>false</LinksUpToDate>
  <CharactersWithSpaces>2835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2025-04-09T02:13:58Z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8D3C9A0808ED4E5A86D63EB9ACE4AAF9_13</vt:lpwstr>
  </property>
  <property fmtid="{D5CDD505-2E9C-101B-9397-08002B2CF9AE}" pid="4" name="KSOTemplateDocerSaveRecord">
    <vt:lpwstr>eyJoZGlkIjoiYjNjY2RiMDhlMzE1NzgyZTlkMzI1OTM4MGRhZThkMjciLCJ1c2VySWQiOiIyMTkyNDM1MzUifQ==</vt:lpwstr>
  </property>
</Properties>
</file>