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color w:val="auto"/>
          <w:sz w:val="52"/>
          <w:szCs w:val="52"/>
          <w:highlight w:val="none"/>
          <w:shd w:val="clear" w:color="auto" w:fill="auto"/>
          <w:lang w:val="en-US" w:eastAsia="zh-CN"/>
        </w:rPr>
        <w:t>永吉县公路管理段</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shd w:val="clear" w:color="auto" w:fill="auto"/>
        </w:rPr>
      </w:pPr>
      <w:r>
        <w:rPr>
          <w:rFonts w:hint="eastAsia" w:ascii="黑体" w:hAnsi="黑体" w:eastAsia="黑体"/>
          <w:sz w:val="44"/>
          <w:szCs w:val="44"/>
          <w:highlight w:val="none"/>
          <w:shd w:val="clear" w:color="auto" w:fill="auto"/>
        </w:rPr>
        <w:t>二〇二</w:t>
      </w:r>
      <w:r>
        <w:rPr>
          <w:rFonts w:hint="eastAsia" w:ascii="黑体" w:hAnsi="黑体" w:eastAsia="黑体"/>
          <w:sz w:val="44"/>
          <w:szCs w:val="44"/>
          <w:highlight w:val="none"/>
          <w:shd w:val="clear" w:color="auto" w:fill="auto"/>
          <w:lang w:eastAsia="zh-CN"/>
        </w:rPr>
        <w:t>五</w:t>
      </w:r>
      <w:r>
        <w:rPr>
          <w:rFonts w:hint="eastAsia" w:ascii="黑体" w:hAnsi="黑体" w:eastAsia="黑体"/>
          <w:sz w:val="44"/>
          <w:szCs w:val="44"/>
          <w:highlight w:val="none"/>
          <w:shd w:val="clear" w:color="auto" w:fill="auto"/>
        </w:rPr>
        <w:t>年一月</w:t>
      </w:r>
      <w:r>
        <w:rPr>
          <w:rFonts w:hint="eastAsia" w:ascii="黑体" w:hAnsi="黑体" w:eastAsia="黑体"/>
          <w:sz w:val="44"/>
          <w:szCs w:val="44"/>
          <w:highlight w:val="none"/>
          <w:shd w:val="clear" w:color="auto" w:fill="auto"/>
          <w:lang w:eastAsia="zh-CN"/>
        </w:rPr>
        <w:t>三</w:t>
      </w:r>
      <w:r>
        <w:rPr>
          <w:rFonts w:hint="eastAsia" w:ascii="黑体" w:hAnsi="黑体" w:eastAsia="黑体"/>
          <w:sz w:val="44"/>
          <w:szCs w:val="44"/>
          <w:highlight w:val="none"/>
          <w:shd w:val="clear" w:color="auto" w:fill="auto"/>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shd w:val="clear" w:color="auto" w:fill="auto"/>
          <w:lang w:val="en-US" w:eastAsia="zh-CN"/>
        </w:rPr>
        <w:t>永吉县公路管理段</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4E48F873">
      <w:pPr>
        <w:ind w:firstLine="1920" w:firstLineChars="600"/>
        <w:jc w:val="both"/>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00CF14A">
      <w:pPr>
        <w:jc w:val="left"/>
        <w:rPr>
          <w:rFonts w:ascii="仿宋" w:hAnsi="仿宋" w:eastAsia="仿宋"/>
          <w:sz w:val="32"/>
          <w:szCs w:val="32"/>
        </w:rPr>
      </w:pPr>
      <w:r>
        <w:rPr>
          <w:rFonts w:hint="eastAsia" w:ascii="仿宋" w:hAnsi="仿宋" w:eastAsia="仿宋"/>
          <w:sz w:val="32"/>
          <w:szCs w:val="32"/>
        </w:rPr>
        <w:t xml:space="preserve">  一、主要职能</w:t>
      </w:r>
    </w:p>
    <w:p w14:paraId="71A2BAF0">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永吉县公路管理段</w:t>
      </w:r>
    </w:p>
    <w:p w14:paraId="5806093E">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事业单位</w:t>
      </w:r>
    </w:p>
    <w:p w14:paraId="4C18E2A3">
      <w:pPr>
        <w:pStyle w:val="10"/>
        <w:widowControl/>
        <w:spacing w:line="620" w:lineRule="exact"/>
        <w:ind w:firstLine="627" w:firstLineChars="196"/>
        <w:contextualSpacing/>
        <w:rPr>
          <w:rFonts w:hint="eastAsia" w:ascii="仿宋_GB2312" w:hAnsi="宋体" w:eastAsia="仿宋_GB2312"/>
          <w:sz w:val="32"/>
          <w:szCs w:val="32"/>
          <w:lang w:val="en-US" w:eastAsia="zh-CN"/>
        </w:rPr>
      </w:pPr>
      <w:r>
        <w:rPr>
          <w:rFonts w:hint="eastAsia" w:ascii="仿宋" w:hAnsi="仿宋" w:eastAsia="仿宋"/>
          <w:bCs/>
          <w:kern w:val="0"/>
          <w:sz w:val="32"/>
          <w:szCs w:val="32"/>
        </w:rPr>
        <w:t>主要职能：</w:t>
      </w:r>
      <w:r>
        <w:rPr>
          <w:rFonts w:hint="eastAsia" w:ascii="仿宋_GB2312" w:hAnsi="宋体" w:eastAsia="仿宋_GB2312"/>
          <w:sz w:val="32"/>
          <w:szCs w:val="32"/>
        </w:rPr>
        <w:t>贯彻执行国家关于</w:t>
      </w:r>
      <w:r>
        <w:rPr>
          <w:rFonts w:hint="eastAsia" w:ascii="方正仿宋_GB2312" w:hAnsi="方正仿宋_GB2312" w:eastAsia="方正仿宋_GB2312" w:cs="方正仿宋_GB2312"/>
          <w:sz w:val="32"/>
          <w:szCs w:val="32"/>
        </w:rPr>
        <w:t>公路养护管理的各项法规、</w:t>
      </w:r>
      <w:r>
        <w:rPr>
          <w:rFonts w:hint="eastAsia" w:ascii="方正仿宋_GB2312" w:hAnsi="方正仿宋_GB2312" w:eastAsia="方正仿宋_GB2312" w:cs="方正仿宋_GB2312"/>
          <w:spacing w:val="-11"/>
          <w:sz w:val="32"/>
          <w:szCs w:val="32"/>
        </w:rPr>
        <w:t>政策及相关制度</w:t>
      </w:r>
      <w:r>
        <w:rPr>
          <w:rFonts w:hint="eastAsia" w:ascii="方正仿宋_GB2312" w:hAnsi="方正仿宋_GB2312" w:eastAsia="方正仿宋_GB2312" w:cs="方正仿宋_GB2312"/>
          <w:spacing w:val="-11"/>
          <w:sz w:val="32"/>
          <w:szCs w:val="32"/>
          <w:lang w:eastAsia="zh-CN"/>
        </w:rPr>
        <w:t>，</w:t>
      </w:r>
      <w:r>
        <w:rPr>
          <w:rFonts w:hint="eastAsia" w:ascii="仿宋_GB2312" w:hAnsi="宋体" w:eastAsia="仿宋_GB2312"/>
          <w:sz w:val="32"/>
          <w:szCs w:val="32"/>
          <w:lang w:val="en-US" w:eastAsia="zh-CN"/>
        </w:rPr>
        <w:t>为公路畅通提供保障。</w:t>
      </w:r>
    </w:p>
    <w:p w14:paraId="78D83B72">
      <w:pPr>
        <w:ind w:firstLine="640" w:firstLineChars="200"/>
        <w:rPr>
          <w:rFonts w:hint="eastAsia" w:ascii="方正仿宋_GB2312" w:hAnsi="方正仿宋_GB2312" w:eastAsia="方正仿宋_GB2312" w:cs="方正仿宋_GB2312"/>
          <w:sz w:val="32"/>
          <w:szCs w:val="32"/>
        </w:rPr>
      </w:pPr>
      <w:r>
        <w:rPr>
          <w:rFonts w:hint="eastAsia" w:ascii="仿宋" w:hAnsi="仿宋" w:eastAsia="仿宋"/>
          <w:bCs/>
          <w:kern w:val="0"/>
          <w:sz w:val="32"/>
          <w:szCs w:val="32"/>
        </w:rPr>
        <w:t>主要业务：</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承担行政区域内日常养护工程招标主体</w:t>
      </w:r>
      <w:r>
        <w:rPr>
          <w:rFonts w:hint="eastAsia" w:ascii="方正仿宋_GB2312" w:hAnsi="方正仿宋_GB2312" w:eastAsia="方正仿宋_GB2312" w:cs="方正仿宋_GB2312"/>
          <w:sz w:val="32"/>
          <w:szCs w:val="32"/>
          <w:lang w:eastAsia="zh-CN"/>
        </w:rPr>
        <w:t>职</w:t>
      </w:r>
      <w:r>
        <w:rPr>
          <w:rFonts w:hint="eastAsia" w:ascii="方正仿宋_GB2312" w:hAnsi="方正仿宋_GB2312" w:eastAsia="方正仿宋_GB2312" w:cs="方正仿宋_GB2312"/>
          <w:sz w:val="32"/>
          <w:szCs w:val="32"/>
        </w:rPr>
        <w:t>责，通过公开招标、合同管理、计量支付等方式规范养护行为，落实养护职责，保证养护质量优良和资金使用合理。</w:t>
      </w:r>
    </w:p>
    <w:p w14:paraId="115307DC">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负责日常养护作业的巡查管理，养护项目计量审查，辅助路况信息采集与上报等具体养护管理工作。</w:t>
      </w:r>
    </w:p>
    <w:p w14:paraId="304C759C">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对日常养护项目进行检查审核，确定小修项目及应急性工程数量、工艺和质量，依照合同约定进行验收、审核、计量，向市级公路管理机构申报计量和资金支付报表。</w:t>
      </w:r>
    </w:p>
    <w:p w14:paraId="468C19AC">
      <w:pPr>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承担桥（涵）及交通安全设施经常性检查，灾毁抢修及应急保通等工作的组织实施。</w:t>
      </w:r>
    </w:p>
    <w:p w14:paraId="080F3608">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4BB8BD66">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管理科、财务科</w:t>
      </w:r>
      <w:r>
        <w:rPr>
          <w:rFonts w:hint="eastAsia" w:ascii="仿宋" w:hAnsi="仿宋" w:eastAsia="仿宋"/>
          <w:kern w:val="0"/>
          <w:szCs w:val="32"/>
        </w:rPr>
        <w:t>、</w:t>
      </w:r>
      <w:r>
        <w:rPr>
          <w:rFonts w:hint="eastAsia" w:ascii="仿宋" w:hAnsi="仿宋" w:eastAsia="仿宋"/>
          <w:kern w:val="0"/>
          <w:szCs w:val="32"/>
          <w:lang w:val="en-US" w:eastAsia="zh-CN"/>
        </w:rPr>
        <w:t>综合科</w:t>
      </w:r>
      <w:r>
        <w:rPr>
          <w:rFonts w:hint="eastAsia" w:ascii="仿宋" w:hAnsi="仿宋" w:eastAsia="仿宋"/>
          <w:kern w:val="0"/>
          <w:szCs w:val="32"/>
        </w:rPr>
        <w:t>、</w:t>
      </w:r>
      <w:r>
        <w:rPr>
          <w:rFonts w:hint="eastAsia" w:ascii="仿宋" w:hAnsi="仿宋" w:eastAsia="仿宋"/>
          <w:kern w:val="0"/>
          <w:szCs w:val="32"/>
          <w:lang w:val="en-US" w:eastAsia="zh-CN"/>
        </w:rPr>
        <w:t>安全科、乡道科</w:t>
      </w:r>
    </w:p>
    <w:p w14:paraId="22BFDD7C">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15</w:t>
      </w:r>
      <w:r>
        <w:rPr>
          <w:rFonts w:hint="eastAsia" w:ascii="仿宋" w:hAnsi="仿宋" w:eastAsia="仿宋"/>
          <w:kern w:val="0"/>
          <w:szCs w:val="32"/>
        </w:rPr>
        <w:t>人，编制数</w:t>
      </w:r>
      <w:r>
        <w:rPr>
          <w:rFonts w:hint="eastAsia" w:ascii="仿宋" w:hAnsi="仿宋" w:eastAsia="仿宋"/>
          <w:kern w:val="0"/>
          <w:szCs w:val="32"/>
          <w:lang w:val="en-US" w:eastAsia="zh-CN"/>
        </w:rPr>
        <w:t>20</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653D2C6B">
      <w:pPr>
        <w:jc w:val="left"/>
        <w:rPr>
          <w:rFonts w:ascii="黑体" w:hAnsi="黑体" w:eastAsia="黑体"/>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5065C501">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按照综合预算的原则，所有收入和支出全部纳入部门预算管理。收入包括：一般公共预算拨款收入；支出包括：社会保障和就业支出、</w:t>
      </w:r>
      <w:r>
        <w:rPr>
          <w:rFonts w:hint="eastAsia" w:ascii="仿宋" w:hAnsi="仿宋" w:eastAsia="仿宋"/>
          <w:sz w:val="32"/>
          <w:szCs w:val="32"/>
          <w:lang w:val="en-US" w:eastAsia="zh-CN"/>
        </w:rPr>
        <w:t>交通运输</w:t>
      </w:r>
      <w:r>
        <w:rPr>
          <w:rFonts w:hint="eastAsia" w:ascii="仿宋" w:hAnsi="仿宋" w:eastAsia="仿宋"/>
          <w:sz w:val="32"/>
          <w:szCs w:val="32"/>
        </w:rPr>
        <w:t>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274.87</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198.29</w:t>
      </w:r>
      <w:r>
        <w:rPr>
          <w:rFonts w:hint="eastAsia" w:ascii="仿宋" w:hAnsi="仿宋" w:eastAsia="仿宋"/>
          <w:sz w:val="32"/>
          <w:szCs w:val="32"/>
        </w:rPr>
        <w:t>万元</w:t>
      </w:r>
      <w:r>
        <w:rPr>
          <w:rFonts w:hint="eastAsia" w:ascii="仿宋" w:hAnsi="仿宋" w:eastAsia="仿宋"/>
          <w:sz w:val="32"/>
          <w:szCs w:val="32"/>
          <w:lang w:val="en-US" w:eastAsia="zh-CN"/>
        </w:rPr>
        <w:t>增加</w:t>
      </w:r>
      <w:r>
        <w:rPr>
          <w:rFonts w:hint="eastAsia" w:ascii="仿宋" w:hAnsi="仿宋" w:eastAsia="仿宋"/>
          <w:sz w:val="32"/>
          <w:szCs w:val="32"/>
        </w:rPr>
        <w:t xml:space="preserve"> </w:t>
      </w:r>
      <w:r>
        <w:rPr>
          <w:rFonts w:hint="eastAsia" w:ascii="仿宋" w:hAnsi="仿宋" w:eastAsia="仿宋"/>
          <w:sz w:val="32"/>
          <w:szCs w:val="32"/>
          <w:lang w:val="en-US" w:eastAsia="zh-CN"/>
        </w:rPr>
        <w:t>76.58</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2024年其他工资福利支出未包含在年初预算中，另外2025年增加2人，所以工资福利支出增加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274.87</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274.87</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274.87</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217.88</w:t>
      </w:r>
      <w:r>
        <w:rPr>
          <w:rFonts w:hint="eastAsia" w:ascii="仿宋" w:hAnsi="仿宋" w:eastAsia="仿宋"/>
          <w:sz w:val="32"/>
          <w:szCs w:val="32"/>
        </w:rPr>
        <w:t xml:space="preserve"> 万元，占</w:t>
      </w:r>
      <w:r>
        <w:rPr>
          <w:rFonts w:hint="eastAsia" w:ascii="仿宋" w:hAnsi="仿宋" w:eastAsia="仿宋"/>
          <w:sz w:val="32"/>
          <w:szCs w:val="32"/>
          <w:lang w:val="en-US" w:eastAsia="zh-CN"/>
        </w:rPr>
        <w:t>79.27</w:t>
      </w:r>
      <w:r>
        <w:rPr>
          <w:rFonts w:hint="eastAsia" w:ascii="仿宋" w:hAnsi="仿宋" w:eastAsia="仿宋"/>
          <w:sz w:val="32"/>
          <w:szCs w:val="32"/>
        </w:rPr>
        <w:t xml:space="preserve">%；项目支出 </w:t>
      </w:r>
      <w:r>
        <w:rPr>
          <w:rFonts w:hint="eastAsia" w:ascii="仿宋" w:hAnsi="仿宋" w:eastAsia="仿宋"/>
          <w:sz w:val="32"/>
          <w:szCs w:val="32"/>
          <w:lang w:val="en-US" w:eastAsia="zh-CN"/>
        </w:rPr>
        <w:t>56.99</w:t>
      </w:r>
      <w:r>
        <w:rPr>
          <w:rFonts w:hint="eastAsia" w:ascii="仿宋" w:hAnsi="仿宋" w:eastAsia="仿宋"/>
          <w:sz w:val="32"/>
          <w:szCs w:val="32"/>
        </w:rPr>
        <w:t>万元，占</w:t>
      </w:r>
      <w:r>
        <w:rPr>
          <w:rFonts w:hint="eastAsia" w:ascii="仿宋" w:hAnsi="仿宋" w:eastAsia="仿宋"/>
          <w:sz w:val="32"/>
          <w:szCs w:val="32"/>
          <w:lang w:val="en-US" w:eastAsia="zh-CN"/>
        </w:rPr>
        <w:t>20.73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20E3D6A3">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274.87</w:t>
      </w:r>
      <w:r>
        <w:rPr>
          <w:rFonts w:hint="eastAsia" w:ascii="仿宋" w:hAnsi="仿宋" w:eastAsia="仿宋"/>
          <w:sz w:val="32"/>
          <w:szCs w:val="32"/>
        </w:rPr>
        <w:t>万元，其中：本年收入</w:t>
      </w:r>
      <w:r>
        <w:rPr>
          <w:rFonts w:hint="eastAsia" w:ascii="仿宋" w:hAnsi="仿宋" w:eastAsia="仿宋"/>
          <w:sz w:val="32"/>
          <w:szCs w:val="32"/>
          <w:lang w:val="en-US" w:eastAsia="zh-CN"/>
        </w:rPr>
        <w:t>274.87</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274.87</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16.62</w:t>
      </w:r>
      <w:r>
        <w:rPr>
          <w:rFonts w:hint="eastAsia" w:ascii="仿宋" w:hAnsi="仿宋" w:eastAsia="仿宋"/>
          <w:sz w:val="32"/>
          <w:szCs w:val="32"/>
        </w:rPr>
        <w:t>万元，</w:t>
      </w:r>
      <w:r>
        <w:rPr>
          <w:rFonts w:hint="eastAsia" w:ascii="仿宋" w:hAnsi="仿宋" w:eastAsia="仿宋"/>
          <w:sz w:val="32"/>
          <w:szCs w:val="32"/>
          <w:lang w:val="en-US" w:eastAsia="zh-CN"/>
        </w:rPr>
        <w:t>交通运输支出245.53</w:t>
      </w:r>
      <w:r>
        <w:rPr>
          <w:rFonts w:hint="eastAsia" w:ascii="仿宋" w:hAnsi="仿宋" w:eastAsia="仿宋"/>
          <w:sz w:val="32"/>
          <w:szCs w:val="32"/>
        </w:rPr>
        <w:t>万元，住房保障支出</w:t>
      </w:r>
      <w:r>
        <w:rPr>
          <w:rFonts w:hint="eastAsia" w:ascii="仿宋" w:hAnsi="仿宋" w:eastAsia="仿宋"/>
          <w:sz w:val="32"/>
          <w:szCs w:val="32"/>
          <w:lang w:val="en-US" w:eastAsia="zh-CN"/>
        </w:rPr>
        <w:t>12.72</w:t>
      </w:r>
      <w:r>
        <w:rPr>
          <w:rFonts w:hint="eastAsia" w:ascii="仿宋" w:hAnsi="仿宋" w:eastAsia="仿宋"/>
          <w:sz w:val="32"/>
          <w:szCs w:val="32"/>
        </w:rPr>
        <w:t>万元</w:t>
      </w:r>
      <w:r>
        <w:rPr>
          <w:rFonts w:hint="eastAsia" w:ascii="仿宋" w:hAnsi="仿宋" w:eastAsia="仿宋"/>
          <w:sz w:val="32"/>
          <w:szCs w:val="32"/>
          <w:lang w:eastAsia="zh-CN"/>
        </w:rPr>
        <w:t>。</w:t>
      </w:r>
    </w:p>
    <w:p w14:paraId="1EA3819D">
      <w:pPr>
        <w:pStyle w:val="11"/>
        <w:ind w:firstLine="640" w:firstLineChars="200"/>
        <w:rPr>
          <w:rFonts w:ascii="仿宋" w:hAnsi="仿宋" w:eastAsia="仿宋"/>
          <w:sz w:val="32"/>
          <w:szCs w:val="32"/>
        </w:rPr>
      </w:pP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274.87</w:t>
      </w:r>
      <w:r>
        <w:rPr>
          <w:rFonts w:hint="eastAsia" w:ascii="仿宋" w:hAnsi="仿宋" w:eastAsia="仿宋"/>
          <w:sz w:val="32"/>
          <w:szCs w:val="32"/>
        </w:rPr>
        <w:t>万元，其中：基本支出</w:t>
      </w:r>
      <w:r>
        <w:rPr>
          <w:rFonts w:hint="eastAsia" w:ascii="仿宋" w:hAnsi="仿宋" w:eastAsia="仿宋"/>
          <w:sz w:val="32"/>
          <w:szCs w:val="32"/>
          <w:lang w:val="en-US" w:eastAsia="zh-CN"/>
        </w:rPr>
        <w:t>217.88</w:t>
      </w:r>
      <w:r>
        <w:rPr>
          <w:rFonts w:hint="eastAsia" w:ascii="仿宋" w:hAnsi="仿宋" w:eastAsia="仿宋"/>
          <w:sz w:val="32"/>
          <w:szCs w:val="32"/>
        </w:rPr>
        <w:t>万元，占</w:t>
      </w:r>
      <w:r>
        <w:rPr>
          <w:rFonts w:hint="eastAsia" w:ascii="仿宋" w:hAnsi="仿宋" w:eastAsia="仿宋"/>
          <w:sz w:val="32"/>
          <w:szCs w:val="32"/>
          <w:lang w:val="en-US" w:eastAsia="zh-CN"/>
        </w:rPr>
        <w:t>79.27</w:t>
      </w:r>
      <w:r>
        <w:rPr>
          <w:rFonts w:hint="eastAsia" w:ascii="仿宋" w:hAnsi="仿宋" w:eastAsia="仿宋"/>
          <w:sz w:val="32"/>
          <w:szCs w:val="32"/>
        </w:rPr>
        <w:t>%；项目支出</w:t>
      </w:r>
      <w:r>
        <w:rPr>
          <w:rFonts w:hint="eastAsia" w:ascii="仿宋" w:hAnsi="仿宋" w:eastAsia="仿宋"/>
          <w:sz w:val="32"/>
          <w:szCs w:val="32"/>
          <w:lang w:val="en-US" w:eastAsia="zh-CN"/>
        </w:rPr>
        <w:t>56.99</w:t>
      </w:r>
      <w:r>
        <w:rPr>
          <w:rFonts w:hint="eastAsia" w:ascii="仿宋" w:hAnsi="仿宋" w:eastAsia="仿宋"/>
          <w:sz w:val="32"/>
          <w:szCs w:val="32"/>
        </w:rPr>
        <w:t>万元，占</w:t>
      </w:r>
      <w:r>
        <w:rPr>
          <w:rFonts w:hint="eastAsia" w:ascii="仿宋" w:hAnsi="仿宋" w:eastAsia="仿宋"/>
          <w:sz w:val="32"/>
          <w:szCs w:val="32"/>
          <w:lang w:val="en-US" w:eastAsia="zh-CN"/>
        </w:rPr>
        <w:t>20.73</w:t>
      </w:r>
      <w:r>
        <w:rPr>
          <w:rFonts w:hint="eastAsia" w:ascii="仿宋" w:hAnsi="仿宋" w:eastAsia="仿宋"/>
          <w:sz w:val="32"/>
          <w:szCs w:val="32"/>
        </w:rPr>
        <w:t>%。基本支出中，人员经费</w:t>
      </w:r>
      <w:r>
        <w:rPr>
          <w:rFonts w:hint="eastAsia" w:ascii="仿宋" w:hAnsi="仿宋" w:eastAsia="仿宋"/>
          <w:sz w:val="32"/>
          <w:szCs w:val="32"/>
          <w:lang w:val="en-US" w:eastAsia="zh-CN"/>
        </w:rPr>
        <w:t>176.81</w:t>
      </w:r>
      <w:r>
        <w:rPr>
          <w:rFonts w:hint="eastAsia" w:ascii="仿宋" w:hAnsi="仿宋" w:eastAsia="仿宋"/>
          <w:sz w:val="32"/>
          <w:szCs w:val="32"/>
        </w:rPr>
        <w:t>万元，占</w:t>
      </w:r>
      <w:r>
        <w:rPr>
          <w:rFonts w:hint="eastAsia" w:ascii="仿宋" w:hAnsi="仿宋" w:eastAsia="仿宋"/>
          <w:sz w:val="32"/>
          <w:szCs w:val="32"/>
          <w:lang w:val="en-US" w:eastAsia="zh-CN"/>
        </w:rPr>
        <w:t>81.15</w:t>
      </w:r>
      <w:r>
        <w:rPr>
          <w:rFonts w:hint="eastAsia" w:ascii="仿宋" w:hAnsi="仿宋" w:eastAsia="仿宋"/>
          <w:sz w:val="32"/>
          <w:szCs w:val="32"/>
        </w:rPr>
        <w:t>%；公用经费</w:t>
      </w:r>
      <w:r>
        <w:rPr>
          <w:rFonts w:hint="eastAsia" w:ascii="仿宋" w:hAnsi="仿宋" w:eastAsia="仿宋"/>
          <w:sz w:val="32"/>
          <w:szCs w:val="32"/>
          <w:lang w:val="en-US" w:eastAsia="zh-CN"/>
        </w:rPr>
        <w:t>41.07</w:t>
      </w:r>
      <w:r>
        <w:rPr>
          <w:rFonts w:hint="eastAsia" w:ascii="仿宋" w:hAnsi="仿宋" w:eastAsia="仿宋"/>
          <w:sz w:val="32"/>
          <w:szCs w:val="32"/>
        </w:rPr>
        <w:t>万元，占</w:t>
      </w:r>
      <w:r>
        <w:rPr>
          <w:rFonts w:hint="eastAsia" w:ascii="仿宋" w:hAnsi="仿宋" w:eastAsia="仿宋"/>
          <w:sz w:val="32"/>
          <w:szCs w:val="32"/>
          <w:lang w:val="en-US" w:eastAsia="zh-CN"/>
        </w:rPr>
        <w:t>18.85</w:t>
      </w:r>
      <w:r>
        <w:rPr>
          <w:rFonts w:hint="eastAsia" w:ascii="仿宋" w:hAnsi="仿宋" w:eastAsia="仿宋"/>
          <w:sz w:val="32"/>
          <w:szCs w:val="32"/>
        </w:rPr>
        <w:t>%。</w:t>
      </w:r>
    </w:p>
    <w:p w14:paraId="2E99BB74">
      <w:pPr>
        <w:ind w:firstLine="640" w:firstLineChars="200"/>
        <w:rPr>
          <w:rFonts w:hint="eastAsia" w:ascii="仿宋" w:hAnsi="仿宋" w:eastAsia="仿宋"/>
          <w:sz w:val="32"/>
          <w:szCs w:val="32"/>
          <w:lang w:val="en-US" w:eastAsia="zh-CN"/>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16.62</w:t>
      </w:r>
      <w:r>
        <w:rPr>
          <w:rFonts w:hint="eastAsia" w:ascii="仿宋" w:hAnsi="仿宋" w:eastAsia="仿宋"/>
          <w:sz w:val="32"/>
          <w:szCs w:val="32"/>
        </w:rPr>
        <w:t>万元，占</w:t>
      </w:r>
      <w:r>
        <w:rPr>
          <w:rFonts w:hint="eastAsia" w:ascii="仿宋" w:hAnsi="仿宋" w:eastAsia="仿宋"/>
          <w:sz w:val="32"/>
          <w:szCs w:val="32"/>
          <w:lang w:val="en-US" w:eastAsia="zh-CN"/>
        </w:rPr>
        <w:t>6.04</w:t>
      </w:r>
      <w:r>
        <w:rPr>
          <w:rFonts w:hint="eastAsia" w:ascii="仿宋" w:hAnsi="仿宋" w:eastAsia="仿宋"/>
          <w:sz w:val="32"/>
          <w:szCs w:val="32"/>
        </w:rPr>
        <w:t>%，主要用于：</w:t>
      </w:r>
      <w:r>
        <w:rPr>
          <w:rFonts w:hint="eastAsia" w:ascii="仿宋" w:hAnsi="仿宋" w:eastAsia="仿宋"/>
          <w:sz w:val="32"/>
          <w:szCs w:val="32"/>
          <w:lang w:val="en-US" w:eastAsia="zh-CN"/>
        </w:rPr>
        <w:t>在职人员缴纳养老保险金。</w:t>
      </w:r>
    </w:p>
    <w:p w14:paraId="1C67E296">
      <w:pPr>
        <w:ind w:firstLine="640" w:firstLineChars="200"/>
        <w:rPr>
          <w:rFonts w:ascii="仿宋" w:hAnsi="仿宋" w:eastAsia="仿宋"/>
          <w:sz w:val="32"/>
          <w:szCs w:val="32"/>
        </w:rPr>
      </w:pPr>
      <w:r>
        <w:rPr>
          <w:rFonts w:hint="eastAsia" w:ascii="仿宋" w:hAnsi="仿宋" w:eastAsia="仿宋"/>
          <w:sz w:val="32"/>
          <w:szCs w:val="32"/>
          <w:lang w:val="en-US" w:eastAsia="zh-CN"/>
        </w:rPr>
        <w:t>通运输支出</w:t>
      </w:r>
      <w:r>
        <w:rPr>
          <w:rFonts w:hint="eastAsia" w:ascii="仿宋" w:hAnsi="仿宋" w:eastAsia="仿宋"/>
          <w:sz w:val="32"/>
          <w:szCs w:val="32"/>
        </w:rPr>
        <w:t xml:space="preserve">支出 </w:t>
      </w:r>
      <w:r>
        <w:rPr>
          <w:rFonts w:hint="eastAsia" w:ascii="仿宋" w:hAnsi="仿宋" w:eastAsia="仿宋"/>
          <w:sz w:val="32"/>
          <w:szCs w:val="32"/>
          <w:lang w:val="en-US" w:eastAsia="zh-CN"/>
        </w:rPr>
        <w:t>245.53</w:t>
      </w:r>
      <w:r>
        <w:rPr>
          <w:rFonts w:hint="eastAsia" w:ascii="仿宋" w:hAnsi="仿宋" w:eastAsia="仿宋"/>
          <w:sz w:val="32"/>
          <w:szCs w:val="32"/>
        </w:rPr>
        <w:t>万元，占</w:t>
      </w:r>
      <w:r>
        <w:rPr>
          <w:rFonts w:hint="eastAsia" w:ascii="仿宋" w:hAnsi="仿宋" w:eastAsia="仿宋"/>
          <w:sz w:val="32"/>
          <w:szCs w:val="32"/>
          <w:lang w:val="en-US" w:eastAsia="zh-CN"/>
        </w:rPr>
        <w:t>89.33</w:t>
      </w:r>
      <w:r>
        <w:rPr>
          <w:rFonts w:hint="eastAsia" w:ascii="仿宋" w:hAnsi="仿宋" w:eastAsia="仿宋"/>
          <w:sz w:val="32"/>
          <w:szCs w:val="32"/>
        </w:rPr>
        <w:t>%，主要用于：</w:t>
      </w:r>
      <w:r>
        <w:rPr>
          <w:rFonts w:hint="eastAsia" w:ascii="仿宋" w:hAnsi="仿宋" w:eastAsia="仿宋"/>
          <w:sz w:val="32"/>
          <w:szCs w:val="32"/>
          <w:lang w:val="en-US" w:eastAsia="zh-CN"/>
        </w:rPr>
        <w:t>在职人员工资及缴纳各项社会保障、公用经费</w:t>
      </w:r>
      <w:r>
        <w:rPr>
          <w:rFonts w:hint="eastAsia" w:ascii="仿宋" w:hAnsi="仿宋" w:eastAsia="仿宋"/>
          <w:sz w:val="32"/>
          <w:szCs w:val="32"/>
        </w:rPr>
        <w:t>。</w:t>
      </w:r>
    </w:p>
    <w:p w14:paraId="793C85C9">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12.72</w:t>
      </w:r>
      <w:r>
        <w:rPr>
          <w:rFonts w:hint="eastAsia" w:ascii="仿宋" w:hAnsi="仿宋" w:eastAsia="仿宋"/>
          <w:sz w:val="32"/>
          <w:szCs w:val="32"/>
        </w:rPr>
        <w:t xml:space="preserve"> 万元，占</w:t>
      </w:r>
      <w:r>
        <w:rPr>
          <w:rFonts w:hint="eastAsia" w:ascii="仿宋" w:hAnsi="仿宋" w:eastAsia="仿宋"/>
          <w:sz w:val="32"/>
          <w:szCs w:val="32"/>
          <w:lang w:val="en-US" w:eastAsia="zh-CN"/>
        </w:rPr>
        <w:t>4.63</w:t>
      </w:r>
      <w:r>
        <w:rPr>
          <w:rFonts w:hint="eastAsia" w:ascii="仿宋" w:hAnsi="仿宋" w:eastAsia="仿宋"/>
          <w:sz w:val="32"/>
          <w:szCs w:val="32"/>
        </w:rPr>
        <w:t>%，主要用于：</w:t>
      </w:r>
      <w:r>
        <w:rPr>
          <w:rFonts w:hint="eastAsia" w:ascii="仿宋" w:hAnsi="仿宋" w:eastAsia="仿宋"/>
          <w:sz w:val="32"/>
          <w:szCs w:val="32"/>
          <w:lang w:val="en-US" w:eastAsia="zh-CN"/>
        </w:rPr>
        <w:t>缴纳在职人员住房公积金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217.88</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176.81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41.07</w:t>
      </w:r>
      <w:r>
        <w:rPr>
          <w:rFonts w:hint="eastAsia" w:ascii="仿宋" w:hAnsi="仿宋" w:eastAsia="仿宋"/>
          <w:sz w:val="32"/>
          <w:szCs w:val="32"/>
        </w:rPr>
        <w:t>万元，主要包括：办公费、</w:t>
      </w:r>
      <w:r>
        <w:rPr>
          <w:rFonts w:hint="eastAsia" w:ascii="仿宋" w:hAnsi="仿宋" w:eastAsia="仿宋"/>
          <w:sz w:val="32"/>
          <w:szCs w:val="32"/>
          <w:lang w:val="en-US" w:eastAsia="zh-CN"/>
        </w:rPr>
        <w:t>手续费、</w:t>
      </w:r>
      <w:r>
        <w:rPr>
          <w:rFonts w:hint="eastAsia" w:ascii="仿宋" w:hAnsi="仿宋" w:eastAsia="仿宋"/>
          <w:sz w:val="32"/>
          <w:szCs w:val="32"/>
        </w:rPr>
        <w:t>水费、电费、邮电费、取暖费、</w:t>
      </w:r>
      <w:r>
        <w:rPr>
          <w:rFonts w:hint="eastAsia" w:ascii="仿宋" w:hAnsi="仿宋" w:eastAsia="仿宋"/>
          <w:sz w:val="32"/>
          <w:szCs w:val="32"/>
          <w:lang w:val="en-US" w:eastAsia="zh-CN"/>
        </w:rPr>
        <w:t>差旅费、维修（护）费、</w:t>
      </w:r>
      <w:r>
        <w:rPr>
          <w:rFonts w:hint="eastAsia" w:ascii="仿宋" w:hAnsi="仿宋" w:eastAsia="仿宋"/>
          <w:sz w:val="32"/>
          <w:szCs w:val="32"/>
        </w:rPr>
        <w:t>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12.60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val="en-US" w:eastAsia="zh-CN"/>
        </w:rPr>
        <w:t>增加3.10</w:t>
      </w:r>
      <w:r>
        <w:rPr>
          <w:rFonts w:hint="eastAsia" w:ascii="仿宋" w:hAnsi="仿宋" w:eastAsia="仿宋"/>
          <w:kern w:val="0"/>
          <w:sz w:val="32"/>
          <w:szCs w:val="32"/>
        </w:rPr>
        <w:t>万元。其中：</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公务用车购置及运行费 </w:t>
      </w:r>
      <w:r>
        <w:rPr>
          <w:rFonts w:hint="eastAsia" w:ascii="仿宋" w:hAnsi="仿宋" w:eastAsia="仿宋"/>
          <w:kern w:val="0"/>
          <w:sz w:val="32"/>
          <w:szCs w:val="32"/>
          <w:lang w:val="en-US" w:eastAsia="zh-CN"/>
        </w:rPr>
        <w:t>12.60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val="en-US" w:eastAsia="zh-CN"/>
        </w:rPr>
        <w:t>增加3.10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12.60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val="en-US" w:eastAsia="zh-CN"/>
        </w:rPr>
        <w:t>增加3.10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val="en-US" w:eastAsia="zh-CN"/>
        </w:rPr>
        <w:t>财政需统一预留30%</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val="en-US" w:eastAsia="zh-CN"/>
        </w:rPr>
        <w:t>相同</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656CEAB1">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无。</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无</w:t>
      </w:r>
      <w:r>
        <w:rPr>
          <w:rFonts w:hint="eastAsia" w:ascii="仿宋" w:hAnsi="仿宋" w:eastAsia="仿宋"/>
          <w:sz w:val="32"/>
          <w:szCs w:val="32"/>
        </w:rPr>
        <w:t>政府采购预算。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val="en-US" w:eastAsia="zh-CN"/>
        </w:rPr>
        <w:t>本</w:t>
      </w:r>
      <w:r>
        <w:rPr>
          <w:rFonts w:hint="eastAsia" w:ascii="仿宋" w:hAnsi="仿宋" w:eastAsia="仿宋"/>
          <w:sz w:val="32"/>
          <w:szCs w:val="32"/>
        </w:rPr>
        <w:t>单位共有车辆</w:t>
      </w:r>
      <w:r>
        <w:rPr>
          <w:rFonts w:hint="eastAsia" w:ascii="仿宋" w:hAnsi="仿宋" w:eastAsia="仿宋"/>
          <w:sz w:val="32"/>
          <w:szCs w:val="32"/>
          <w:lang w:val="en-US" w:eastAsia="zh-CN"/>
        </w:rPr>
        <w:t>4</w:t>
      </w:r>
      <w:r>
        <w:rPr>
          <w:rFonts w:hint="eastAsia" w:ascii="仿宋" w:hAnsi="仿宋" w:eastAsia="仿宋"/>
          <w:sz w:val="32"/>
          <w:szCs w:val="32"/>
        </w:rPr>
        <w:t xml:space="preserve"> 辆，其中，一般公务用车 </w:t>
      </w:r>
      <w:r>
        <w:rPr>
          <w:rFonts w:hint="eastAsia" w:ascii="仿宋" w:hAnsi="仿宋" w:eastAsia="仿宋"/>
          <w:sz w:val="32"/>
          <w:szCs w:val="32"/>
          <w:lang w:val="en-US" w:eastAsia="zh-CN"/>
        </w:rPr>
        <w:t>3</w:t>
      </w:r>
      <w:r>
        <w:rPr>
          <w:rFonts w:hint="eastAsia" w:ascii="仿宋" w:hAnsi="仿宋" w:eastAsia="仿宋"/>
          <w:sz w:val="32"/>
          <w:szCs w:val="32"/>
        </w:rPr>
        <w:t xml:space="preserve"> 辆、特种专业技术用车</w:t>
      </w:r>
      <w:r>
        <w:rPr>
          <w:rFonts w:hint="eastAsia" w:ascii="仿宋" w:hAnsi="仿宋" w:eastAsia="仿宋"/>
          <w:sz w:val="32"/>
          <w:szCs w:val="32"/>
          <w:lang w:val="en-US" w:eastAsia="zh-CN"/>
        </w:rPr>
        <w:t>1</w:t>
      </w:r>
      <w:r>
        <w:rPr>
          <w:rFonts w:hint="eastAsia" w:ascii="仿宋" w:hAnsi="仿宋" w:eastAsia="仿宋"/>
          <w:sz w:val="32"/>
          <w:szCs w:val="32"/>
        </w:rPr>
        <w:t>辆、</w:t>
      </w:r>
      <w:r>
        <w:rPr>
          <w:rFonts w:hint="eastAsia" w:ascii="仿宋" w:hAnsi="仿宋" w:eastAsia="仿宋"/>
          <w:sz w:val="32"/>
          <w:szCs w:val="32"/>
          <w:lang w:val="en-US" w:eastAsia="zh-CN"/>
        </w:rPr>
        <w:t>无</w:t>
      </w:r>
      <w:r>
        <w:rPr>
          <w:rFonts w:hint="eastAsia" w:ascii="仿宋" w:hAnsi="仿宋" w:eastAsia="仿宋"/>
          <w:sz w:val="32"/>
          <w:szCs w:val="32"/>
        </w:rPr>
        <w:t>价值200万元以上大型设备。</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w:t>
      </w:r>
      <w:r>
        <w:rPr>
          <w:rFonts w:hint="eastAsia" w:ascii="仿宋" w:hAnsi="仿宋" w:eastAsia="仿宋"/>
          <w:sz w:val="32"/>
          <w:szCs w:val="32"/>
          <w:lang w:val="en-US" w:eastAsia="zh-CN"/>
        </w:rPr>
        <w:t>未</w:t>
      </w:r>
      <w:r>
        <w:rPr>
          <w:rFonts w:hint="eastAsia" w:ascii="仿宋" w:hAnsi="仿宋" w:eastAsia="仿宋"/>
          <w:sz w:val="32"/>
          <w:szCs w:val="32"/>
        </w:rPr>
        <w:t>安排购置车辆及价值200万元以上大型设备。</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w:t>
      </w:r>
      <w:r>
        <w:rPr>
          <w:rFonts w:hint="eastAsia" w:ascii="仿宋" w:hAnsi="仿宋" w:eastAsia="仿宋"/>
          <w:sz w:val="32"/>
          <w:szCs w:val="32"/>
          <w:lang w:val="en-US" w:eastAsia="zh-CN"/>
        </w:rPr>
        <w:t>单位</w:t>
      </w:r>
      <w:r>
        <w:rPr>
          <w:rFonts w:hint="eastAsia" w:ascii="仿宋" w:hAnsi="仿宋" w:eastAsia="仿宋"/>
          <w:sz w:val="32"/>
          <w:szCs w:val="32"/>
        </w:rPr>
        <w:t>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56.99</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5EF0D82">
      <w:pPr>
        <w:jc w:val="left"/>
        <w:rPr>
          <w:rFonts w:hint="eastAsia" w:ascii="仿宋" w:hAnsi="仿宋" w:eastAsia="仿宋"/>
          <w:sz w:val="32"/>
          <w:szCs w:val="32"/>
        </w:rPr>
      </w:pPr>
    </w:p>
    <w:p w14:paraId="1B9DA4B3">
      <w:pPr>
        <w:ind w:firstLine="2880" w:firstLineChars="900"/>
        <w:jc w:val="left"/>
        <w:rPr>
          <w:rFonts w:ascii="仿宋" w:hAnsi="仿宋" w:eastAsia="仿宋"/>
          <w:sz w:val="32"/>
          <w:szCs w:val="32"/>
        </w:rPr>
      </w:pPr>
      <w:bookmarkStart w:id="0" w:name="_GoBack"/>
      <w:bookmarkEnd w:id="0"/>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7E087D"/>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9FC21BB"/>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432923"/>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4D6B9C"/>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176</Words>
  <Characters>182</Characters>
  <Lines>22</Lines>
  <Paragraphs>6</Paragraphs>
  <TotalTime>10</TotalTime>
  <ScaleCrop>false</ScaleCrop>
  <LinksUpToDate>false</LinksUpToDate>
  <CharactersWithSpaces>198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树叶</cp:lastModifiedBy>
  <dcterms:modified xsi:type="dcterms:W3CDTF">2025-04-02T06:41:53Z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eyJoZGlkIjoiZGM4M2Q4M2IyOTZmMDk4ZWNkNmJjZjY3NjVkZjk0ZWUiLCJ1c2VySWQiOiI2NzMyNTk3NTEifQ==</vt:lpwstr>
  </property>
</Properties>
</file>