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2E4365">
      <w:pPr>
        <w:jc w:val="center"/>
        <w:rPr>
          <w:rFonts w:ascii="黑体" w:hAnsi="黑体" w:eastAsia="黑体"/>
          <w:sz w:val="44"/>
          <w:szCs w:val="44"/>
        </w:rPr>
      </w:pPr>
    </w:p>
    <w:p w14:paraId="4A6AAFCF">
      <w:pPr>
        <w:jc w:val="center"/>
        <w:rPr>
          <w:rFonts w:ascii="黑体" w:hAnsi="黑体" w:eastAsia="黑体"/>
          <w:sz w:val="44"/>
          <w:szCs w:val="44"/>
        </w:rPr>
      </w:pPr>
    </w:p>
    <w:p w14:paraId="48E1FCF5">
      <w:pPr>
        <w:jc w:val="center"/>
        <w:rPr>
          <w:rFonts w:ascii="黑体" w:hAnsi="黑体" w:eastAsia="黑体"/>
          <w:sz w:val="44"/>
          <w:szCs w:val="44"/>
        </w:rPr>
      </w:pPr>
    </w:p>
    <w:p w14:paraId="783CA4AE">
      <w:pPr>
        <w:jc w:val="center"/>
        <w:rPr>
          <w:rFonts w:ascii="黑体" w:hAnsi="黑体" w:eastAsia="黑体"/>
          <w:sz w:val="44"/>
          <w:szCs w:val="44"/>
        </w:rPr>
      </w:pPr>
    </w:p>
    <w:p w14:paraId="110C17E8">
      <w:pPr>
        <w:jc w:val="center"/>
        <w:rPr>
          <w:rFonts w:ascii="黑体" w:hAnsi="黑体" w:eastAsia="黑体"/>
          <w:sz w:val="44"/>
          <w:szCs w:val="44"/>
        </w:rPr>
      </w:pPr>
    </w:p>
    <w:p w14:paraId="5F8AAE15">
      <w:pPr>
        <w:jc w:val="center"/>
        <w:rPr>
          <w:rFonts w:hint="eastAsia" w:ascii="黑体" w:hAnsi="黑体" w:eastAsia="黑体"/>
          <w:sz w:val="52"/>
          <w:szCs w:val="52"/>
        </w:rPr>
      </w:pPr>
      <w:r>
        <w:rPr>
          <w:rFonts w:hint="eastAsia" w:ascii="黑体" w:hAnsi="黑体" w:eastAsia="黑体"/>
          <w:sz w:val="52"/>
          <w:szCs w:val="52"/>
        </w:rPr>
        <w:t>永吉县西阳镇九年制学校</w:t>
      </w:r>
    </w:p>
    <w:p w14:paraId="02BCFFA4">
      <w:pPr>
        <w:jc w:val="center"/>
        <w:rPr>
          <w:rFonts w:ascii="黑体" w:hAnsi="黑体" w:eastAsia="黑体"/>
          <w:sz w:val="52"/>
          <w:szCs w:val="52"/>
        </w:rPr>
      </w:pPr>
      <w:r>
        <w:rPr>
          <w:rFonts w:hint="eastAsia" w:ascii="黑体" w:hAnsi="黑体" w:eastAsia="黑体"/>
          <w:sz w:val="52"/>
          <w:szCs w:val="52"/>
        </w:rPr>
        <w:t>2025年部门预算</w:t>
      </w:r>
    </w:p>
    <w:p w14:paraId="6C08198E">
      <w:pPr>
        <w:jc w:val="center"/>
        <w:rPr>
          <w:rFonts w:ascii="黑体" w:hAnsi="黑体" w:eastAsia="黑体"/>
          <w:sz w:val="44"/>
          <w:szCs w:val="44"/>
        </w:rPr>
      </w:pPr>
    </w:p>
    <w:p w14:paraId="650CBD28">
      <w:pPr>
        <w:jc w:val="center"/>
        <w:rPr>
          <w:rFonts w:ascii="黑体" w:hAnsi="黑体" w:eastAsia="黑体"/>
          <w:sz w:val="44"/>
          <w:szCs w:val="44"/>
        </w:rPr>
      </w:pPr>
    </w:p>
    <w:p w14:paraId="41BD01D8">
      <w:pPr>
        <w:jc w:val="center"/>
        <w:rPr>
          <w:rFonts w:ascii="黑体" w:hAnsi="黑体" w:eastAsia="黑体"/>
          <w:sz w:val="44"/>
          <w:szCs w:val="44"/>
        </w:rPr>
      </w:pPr>
    </w:p>
    <w:p w14:paraId="06875198">
      <w:pPr>
        <w:jc w:val="center"/>
        <w:rPr>
          <w:rFonts w:ascii="黑体" w:hAnsi="黑体" w:eastAsia="黑体"/>
          <w:sz w:val="44"/>
          <w:szCs w:val="44"/>
        </w:rPr>
      </w:pPr>
    </w:p>
    <w:p w14:paraId="1265F16A">
      <w:pPr>
        <w:jc w:val="center"/>
        <w:rPr>
          <w:rFonts w:ascii="黑体" w:hAnsi="黑体" w:eastAsia="黑体"/>
          <w:sz w:val="44"/>
          <w:szCs w:val="44"/>
        </w:rPr>
      </w:pPr>
    </w:p>
    <w:p w14:paraId="0B91FFFE">
      <w:pPr>
        <w:jc w:val="center"/>
        <w:rPr>
          <w:rFonts w:ascii="黑体" w:hAnsi="黑体" w:eastAsia="黑体"/>
          <w:sz w:val="44"/>
          <w:szCs w:val="44"/>
        </w:rPr>
      </w:pPr>
    </w:p>
    <w:p w14:paraId="2C358F23">
      <w:pPr>
        <w:jc w:val="center"/>
        <w:rPr>
          <w:rFonts w:ascii="黑体" w:hAnsi="黑体" w:eastAsia="黑体"/>
          <w:sz w:val="44"/>
          <w:szCs w:val="44"/>
        </w:rPr>
      </w:pPr>
    </w:p>
    <w:p w14:paraId="49691E96">
      <w:pPr>
        <w:jc w:val="center"/>
        <w:rPr>
          <w:rFonts w:ascii="黑体" w:hAnsi="黑体" w:eastAsia="黑体"/>
          <w:sz w:val="44"/>
          <w:szCs w:val="44"/>
        </w:rPr>
      </w:pPr>
    </w:p>
    <w:p w14:paraId="56D140C1">
      <w:pPr>
        <w:jc w:val="center"/>
        <w:rPr>
          <w:rFonts w:ascii="黑体" w:hAnsi="黑体" w:eastAsia="黑体"/>
          <w:sz w:val="44"/>
          <w:szCs w:val="44"/>
        </w:rPr>
      </w:pPr>
    </w:p>
    <w:p w14:paraId="594860DF">
      <w:pPr>
        <w:jc w:val="center"/>
        <w:rPr>
          <w:rFonts w:ascii="黑体" w:hAnsi="黑体" w:eastAsia="黑体"/>
          <w:sz w:val="44"/>
          <w:szCs w:val="44"/>
        </w:rPr>
      </w:pPr>
    </w:p>
    <w:p w14:paraId="5C45AFE0">
      <w:pPr>
        <w:jc w:val="center"/>
        <w:rPr>
          <w:rFonts w:ascii="黑体" w:hAnsi="黑体" w:eastAsia="黑体"/>
          <w:sz w:val="44"/>
          <w:szCs w:val="44"/>
        </w:rPr>
      </w:pPr>
      <w:r>
        <w:rPr>
          <w:rFonts w:hint="eastAsia" w:ascii="黑体" w:hAnsi="黑体" w:eastAsia="黑体"/>
          <w:sz w:val="44"/>
          <w:szCs w:val="44"/>
        </w:rPr>
        <w:t>二〇二五年一月三日</w:t>
      </w:r>
    </w:p>
    <w:p w14:paraId="739BD5EA">
      <w:pPr>
        <w:jc w:val="center"/>
        <w:rPr>
          <w:rFonts w:ascii="黑体" w:hAnsi="黑体" w:eastAsia="黑体"/>
          <w:sz w:val="44"/>
          <w:szCs w:val="44"/>
        </w:rPr>
      </w:pPr>
    </w:p>
    <w:p w14:paraId="07358A06">
      <w:pPr>
        <w:jc w:val="center"/>
        <w:rPr>
          <w:rFonts w:ascii="黑体" w:hAnsi="黑体" w:eastAsia="黑体"/>
          <w:sz w:val="44"/>
          <w:szCs w:val="44"/>
        </w:rPr>
      </w:pPr>
    </w:p>
    <w:p w14:paraId="5A20B824">
      <w:pPr>
        <w:jc w:val="center"/>
        <w:rPr>
          <w:rFonts w:ascii="黑体" w:hAnsi="黑体" w:eastAsia="黑体"/>
          <w:sz w:val="44"/>
          <w:szCs w:val="44"/>
        </w:rPr>
      </w:pPr>
    </w:p>
    <w:p w14:paraId="1BF557E3">
      <w:pPr>
        <w:rPr>
          <w:rFonts w:ascii="黑体" w:hAnsi="黑体" w:eastAsia="黑体"/>
          <w:sz w:val="44"/>
          <w:szCs w:val="44"/>
        </w:rPr>
      </w:pPr>
    </w:p>
    <w:p w14:paraId="596E582F">
      <w:pPr>
        <w:jc w:val="center"/>
        <w:rPr>
          <w:rFonts w:ascii="黑体" w:hAnsi="黑体" w:eastAsia="黑体"/>
          <w:sz w:val="44"/>
          <w:szCs w:val="44"/>
        </w:rPr>
      </w:pPr>
      <w:r>
        <w:rPr>
          <w:rFonts w:hint="eastAsia" w:ascii="黑体" w:hAnsi="黑体" w:eastAsia="黑体"/>
          <w:sz w:val="44"/>
          <w:szCs w:val="44"/>
        </w:rPr>
        <w:t>永吉县西阳镇九年制学校2025年预算</w:t>
      </w:r>
    </w:p>
    <w:p w14:paraId="4C6D6F8B">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55AEC63C">
      <w:pPr>
        <w:rPr>
          <w:rFonts w:ascii="仿宋" w:hAnsi="仿宋" w:eastAsia="仿宋"/>
          <w:sz w:val="32"/>
          <w:szCs w:val="32"/>
        </w:rPr>
      </w:pPr>
      <w:r>
        <w:rPr>
          <w:rFonts w:hint="eastAsia" w:ascii="仿宋" w:hAnsi="仿宋" w:eastAsia="仿宋"/>
          <w:sz w:val="32"/>
          <w:szCs w:val="32"/>
        </w:rPr>
        <w:t>第一部分  部门概况</w:t>
      </w:r>
    </w:p>
    <w:p w14:paraId="06E43D72">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229CCF8F">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3A09F261">
      <w:pPr>
        <w:rPr>
          <w:rFonts w:ascii="仿宋" w:hAnsi="仿宋" w:eastAsia="仿宋"/>
          <w:sz w:val="32"/>
          <w:szCs w:val="32"/>
        </w:rPr>
      </w:pPr>
      <w:r>
        <w:rPr>
          <w:rFonts w:hint="eastAsia" w:ascii="仿宋" w:hAnsi="仿宋" w:eastAsia="仿宋"/>
          <w:sz w:val="32"/>
          <w:szCs w:val="32"/>
        </w:rPr>
        <w:t>第二部分  情况说明</w:t>
      </w:r>
    </w:p>
    <w:p w14:paraId="58152299">
      <w:pPr>
        <w:rPr>
          <w:rFonts w:ascii="仿宋" w:hAnsi="仿宋" w:eastAsia="仿宋"/>
          <w:sz w:val="32"/>
          <w:szCs w:val="32"/>
        </w:rPr>
      </w:pPr>
      <w:r>
        <w:rPr>
          <w:rFonts w:hint="eastAsia" w:ascii="仿宋" w:hAnsi="仿宋" w:eastAsia="仿宋"/>
          <w:sz w:val="32"/>
          <w:szCs w:val="32"/>
        </w:rPr>
        <w:t xml:space="preserve">第三部分  名词解释 </w:t>
      </w:r>
    </w:p>
    <w:p w14:paraId="7D29475B">
      <w:pPr>
        <w:rPr>
          <w:rFonts w:ascii="仿宋" w:hAnsi="仿宋" w:eastAsia="仿宋"/>
          <w:sz w:val="32"/>
          <w:szCs w:val="32"/>
        </w:rPr>
      </w:pPr>
      <w:r>
        <w:rPr>
          <w:rFonts w:hint="eastAsia" w:ascii="仿宋" w:hAnsi="仿宋" w:eastAsia="仿宋"/>
          <w:sz w:val="32"/>
          <w:szCs w:val="32"/>
        </w:rPr>
        <w:t>第四部分  预算表格</w:t>
      </w:r>
    </w:p>
    <w:p w14:paraId="0E10E65A">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1EDEC08">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81B3F35">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143D9F34">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3D72DB9B">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569AC39D">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4E4998A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B13CC33">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3E77668D">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35722172">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6AE2A97">
      <w:pPr>
        <w:rPr>
          <w:rFonts w:ascii="仿宋" w:hAnsi="仿宋" w:eastAsia="仿宋"/>
          <w:sz w:val="32"/>
          <w:szCs w:val="32"/>
        </w:rPr>
      </w:pPr>
    </w:p>
    <w:p w14:paraId="208D7D4E">
      <w:pPr>
        <w:rPr>
          <w:rFonts w:ascii="仿宋" w:hAnsi="仿宋" w:eastAsia="仿宋"/>
          <w:sz w:val="32"/>
          <w:szCs w:val="32"/>
        </w:rPr>
      </w:pPr>
    </w:p>
    <w:p w14:paraId="6C8218C9">
      <w:pPr>
        <w:rPr>
          <w:rFonts w:ascii="仿宋" w:hAnsi="仿宋" w:eastAsia="仿宋"/>
          <w:sz w:val="32"/>
          <w:szCs w:val="32"/>
        </w:rPr>
      </w:pPr>
    </w:p>
    <w:p w14:paraId="60E6D67C">
      <w:pPr>
        <w:jc w:val="center"/>
        <w:rPr>
          <w:rFonts w:ascii="黑体" w:hAnsi="黑体" w:eastAsia="黑体"/>
          <w:sz w:val="32"/>
          <w:szCs w:val="32"/>
        </w:rPr>
      </w:pPr>
      <w:r>
        <w:rPr>
          <w:rFonts w:hint="eastAsia" w:ascii="黑体" w:hAnsi="黑体" w:eastAsia="黑体"/>
          <w:sz w:val="32"/>
          <w:szCs w:val="32"/>
        </w:rPr>
        <w:t>第一部分    部门（单位）概况</w:t>
      </w:r>
    </w:p>
    <w:p w14:paraId="69E488DC">
      <w:pPr>
        <w:jc w:val="left"/>
        <w:rPr>
          <w:rFonts w:ascii="仿宋" w:hAnsi="仿宋" w:eastAsia="仿宋"/>
          <w:sz w:val="32"/>
          <w:szCs w:val="32"/>
        </w:rPr>
      </w:pPr>
      <w:r>
        <w:rPr>
          <w:rFonts w:hint="eastAsia" w:ascii="仿宋" w:hAnsi="仿宋" w:eastAsia="仿宋"/>
          <w:sz w:val="32"/>
          <w:szCs w:val="32"/>
        </w:rPr>
        <w:t xml:space="preserve">  </w:t>
      </w:r>
    </w:p>
    <w:p w14:paraId="622CDE05">
      <w:pPr>
        <w:jc w:val="left"/>
        <w:rPr>
          <w:rFonts w:ascii="仿宋" w:hAnsi="仿宋" w:eastAsia="仿宋"/>
          <w:sz w:val="32"/>
          <w:szCs w:val="32"/>
        </w:rPr>
      </w:pPr>
      <w:r>
        <w:rPr>
          <w:rFonts w:hint="eastAsia" w:ascii="仿宋" w:hAnsi="仿宋" w:eastAsia="仿宋"/>
          <w:sz w:val="32"/>
          <w:szCs w:val="32"/>
        </w:rPr>
        <w:t xml:space="preserve"> 一、主要职能</w:t>
      </w:r>
    </w:p>
    <w:p w14:paraId="34F4DE9E">
      <w:pPr>
        <w:pStyle w:val="10"/>
        <w:widowControl/>
        <w:spacing w:line="620" w:lineRule="exact"/>
        <w:ind w:firstLine="627" w:firstLineChars="196"/>
        <w:contextualSpacing/>
        <w:rPr>
          <w:rFonts w:ascii="仿宋" w:hAnsi="仿宋" w:eastAsia="仿宋"/>
          <w:bCs/>
          <w:sz w:val="32"/>
          <w:szCs w:val="32"/>
        </w:rPr>
      </w:pPr>
      <w:r>
        <w:rPr>
          <w:rFonts w:hint="eastAsia" w:ascii="仿宋" w:hAnsi="仿宋" w:eastAsia="仿宋"/>
          <w:bCs/>
          <w:sz w:val="32"/>
          <w:szCs w:val="32"/>
        </w:rPr>
        <w:t>单位</w:t>
      </w:r>
      <w:r>
        <w:rPr>
          <w:rFonts w:hint="eastAsia" w:ascii="仿宋" w:hAnsi="仿宋" w:eastAsia="仿宋"/>
          <w:bCs/>
          <w:kern w:val="0"/>
          <w:sz w:val="32"/>
          <w:szCs w:val="32"/>
        </w:rPr>
        <w:t>名称：永吉县西阳镇九年制学校</w:t>
      </w:r>
    </w:p>
    <w:p w14:paraId="06A4F19C">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单位性质</w:t>
      </w:r>
      <w:r>
        <w:rPr>
          <w:rFonts w:hint="eastAsia" w:ascii="仿宋" w:hAnsi="仿宋" w:eastAsia="仿宋"/>
          <w:kern w:val="0"/>
          <w:sz w:val="32"/>
          <w:szCs w:val="32"/>
        </w:rPr>
        <w:t xml:space="preserve">：全额拨款事业单位 </w:t>
      </w:r>
    </w:p>
    <w:p w14:paraId="560320A7">
      <w:pPr>
        <w:pStyle w:val="10"/>
        <w:widowControl/>
        <w:spacing w:line="620" w:lineRule="exact"/>
        <w:ind w:firstLine="627" w:firstLineChars="196"/>
        <w:contextualSpacing/>
        <w:rPr>
          <w:rFonts w:ascii="仿宋_GB2312" w:hAnsi="仿宋_GB2312" w:eastAsia="仿宋_GB2312" w:cs="仿宋_GB2312"/>
          <w:bCs/>
          <w:color w:val="000000"/>
          <w:sz w:val="32"/>
          <w:szCs w:val="32"/>
        </w:rPr>
      </w:pPr>
      <w:r>
        <w:rPr>
          <w:rFonts w:hint="eastAsia" w:ascii="仿宋" w:hAnsi="仿宋" w:eastAsia="仿宋"/>
          <w:bCs/>
          <w:kern w:val="0"/>
          <w:sz w:val="32"/>
          <w:szCs w:val="32"/>
        </w:rPr>
        <w:t>主要职能：</w:t>
      </w:r>
      <w:r>
        <w:rPr>
          <w:rFonts w:hint="eastAsia" w:ascii="仿宋_GB2312" w:eastAsia="仿宋_GB2312"/>
          <w:sz w:val="32"/>
          <w:szCs w:val="32"/>
        </w:rPr>
        <w:t>本单位主要职责是</w:t>
      </w:r>
      <w:r>
        <w:rPr>
          <w:rFonts w:hint="eastAsia" w:ascii="仿宋_GB2312" w:hAnsi="仿宋_GB2312" w:eastAsia="仿宋_GB2312" w:cs="仿宋_GB2312"/>
          <w:bCs/>
          <w:color w:val="000000"/>
          <w:sz w:val="32"/>
          <w:szCs w:val="32"/>
        </w:rPr>
        <w:t>实施九年制义务教育教学</w:t>
      </w:r>
      <w:r>
        <w:rPr>
          <w:rFonts w:ascii="仿宋_GB2312" w:hAnsi="仿宋_GB2312" w:eastAsia="仿宋_GB2312" w:cs="仿宋_GB2312"/>
          <w:bCs/>
          <w:color w:val="000000"/>
          <w:sz w:val="32"/>
          <w:szCs w:val="32"/>
        </w:rPr>
        <w:t>,</w:t>
      </w:r>
      <w:r>
        <w:rPr>
          <w:rFonts w:hint="eastAsia" w:ascii="仿宋_GB2312" w:hAnsi="仿宋_GB2312" w:eastAsia="仿宋_GB2312" w:cs="仿宋_GB2312"/>
          <w:bCs/>
          <w:color w:val="000000"/>
          <w:sz w:val="32"/>
          <w:szCs w:val="32"/>
        </w:rPr>
        <w:t>促进基础教育发展。</w:t>
      </w:r>
    </w:p>
    <w:p w14:paraId="63BC01A6">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主要业务：</w:t>
      </w:r>
      <w:r>
        <w:rPr>
          <w:rFonts w:hint="eastAsia" w:ascii="仿宋_GB2312" w:hAnsi="仿宋_GB2312" w:eastAsia="仿宋_GB2312" w:cs="仿宋_GB2312"/>
          <w:bCs/>
          <w:color w:val="000000"/>
          <w:sz w:val="32"/>
          <w:szCs w:val="32"/>
        </w:rPr>
        <w:t>实施学前教育教学及九年制义务教育教学。</w:t>
      </w:r>
    </w:p>
    <w:p w14:paraId="63AB3AB6">
      <w:pPr>
        <w:pStyle w:val="10"/>
        <w:widowControl/>
        <w:spacing w:line="620" w:lineRule="exact"/>
        <w:ind w:firstLine="627" w:firstLineChars="196"/>
        <w:contextualSpacing/>
        <w:rPr>
          <w:rFonts w:ascii="仿宋" w:hAnsi="仿宋" w:eastAsia="仿宋"/>
          <w:sz w:val="32"/>
          <w:szCs w:val="32"/>
        </w:rPr>
      </w:pPr>
      <w:r>
        <w:rPr>
          <w:rFonts w:hint="eastAsia" w:ascii="仿宋" w:hAnsi="仿宋" w:eastAsia="仿宋"/>
          <w:sz w:val="32"/>
          <w:szCs w:val="32"/>
        </w:rPr>
        <w:t>二、机构设置</w:t>
      </w:r>
    </w:p>
    <w:p w14:paraId="1ABCC2AD">
      <w:pPr>
        <w:pStyle w:val="12"/>
        <w:ind w:firstLine="627" w:firstLineChars="196"/>
        <w:rPr>
          <w:rFonts w:hint="eastAsia" w:ascii="仿宋_GB2312"/>
          <w:szCs w:val="32"/>
        </w:rPr>
      </w:pPr>
      <w:bookmarkStart w:id="0" w:name="OLE_LINK2"/>
      <w:bookmarkStart w:id="1" w:name="OLE_LINK1"/>
      <w:r>
        <w:rPr>
          <w:rFonts w:hint="eastAsia" w:ascii="仿宋_GB2312" w:hAnsi="仿宋"/>
          <w:kern w:val="0"/>
          <w:szCs w:val="32"/>
        </w:rPr>
        <w:t>机构设置</w:t>
      </w:r>
      <w:bookmarkEnd w:id="0"/>
      <w:bookmarkEnd w:id="1"/>
      <w:r>
        <w:rPr>
          <w:rFonts w:hint="eastAsia" w:ascii="仿宋_GB2312" w:hAnsi="仿宋"/>
          <w:kern w:val="0"/>
          <w:szCs w:val="32"/>
        </w:rPr>
        <w:t>包括：</w:t>
      </w:r>
      <w:r>
        <w:rPr>
          <w:rFonts w:hint="eastAsia" w:ascii="仿宋_GB2312"/>
          <w:szCs w:val="32"/>
        </w:rPr>
        <w:t>本单位属于全额拨款二级预算事业单位1个，分为幼儿部门、小学部、中学部、后勤部门。</w:t>
      </w:r>
    </w:p>
    <w:p w14:paraId="68B13373">
      <w:pPr>
        <w:pStyle w:val="12"/>
        <w:ind w:firstLine="627" w:firstLineChars="196"/>
        <w:rPr>
          <w:rFonts w:hint="eastAsia" w:ascii="仿宋_GB2312" w:hAnsi="仿宋"/>
          <w:kern w:val="0"/>
          <w:szCs w:val="32"/>
        </w:rPr>
      </w:pPr>
      <w:r>
        <w:rPr>
          <w:rFonts w:hint="eastAsia" w:ascii="仿宋_GB2312" w:hAnsi="仿宋"/>
          <w:kern w:val="0"/>
          <w:szCs w:val="32"/>
        </w:rPr>
        <w:t>人员情况：在职人员60人，编制数72人，领导职数3个。</w:t>
      </w:r>
    </w:p>
    <w:p w14:paraId="6C9AB660">
      <w:pPr>
        <w:jc w:val="left"/>
        <w:rPr>
          <w:rFonts w:ascii="仿宋" w:hAnsi="仿宋" w:eastAsia="仿宋"/>
          <w:sz w:val="32"/>
          <w:szCs w:val="32"/>
        </w:rPr>
      </w:pPr>
      <w:r>
        <w:rPr>
          <w:rFonts w:hint="eastAsia" w:ascii="仿宋" w:hAnsi="仿宋" w:eastAsia="仿宋"/>
          <w:sz w:val="32"/>
          <w:szCs w:val="32"/>
        </w:rPr>
        <w:t xml:space="preserve">   </w:t>
      </w:r>
    </w:p>
    <w:p w14:paraId="3B730F23">
      <w:pPr>
        <w:jc w:val="left"/>
        <w:rPr>
          <w:rFonts w:ascii="仿宋" w:hAnsi="仿宋" w:eastAsia="仿宋"/>
          <w:sz w:val="32"/>
          <w:szCs w:val="32"/>
        </w:rPr>
      </w:pPr>
    </w:p>
    <w:p w14:paraId="06EF8F05">
      <w:pPr>
        <w:jc w:val="left"/>
        <w:rPr>
          <w:rFonts w:ascii="仿宋" w:hAnsi="仿宋" w:eastAsia="仿宋"/>
          <w:sz w:val="32"/>
          <w:szCs w:val="32"/>
        </w:rPr>
      </w:pPr>
    </w:p>
    <w:p w14:paraId="480F2BE1">
      <w:pPr>
        <w:jc w:val="left"/>
        <w:rPr>
          <w:rFonts w:ascii="仿宋" w:hAnsi="仿宋" w:eastAsia="仿宋"/>
          <w:sz w:val="32"/>
          <w:szCs w:val="32"/>
        </w:rPr>
      </w:pPr>
    </w:p>
    <w:p w14:paraId="76CE3C6D">
      <w:pPr>
        <w:jc w:val="left"/>
        <w:rPr>
          <w:rFonts w:ascii="仿宋" w:hAnsi="仿宋" w:eastAsia="仿宋"/>
          <w:sz w:val="32"/>
          <w:szCs w:val="32"/>
        </w:rPr>
      </w:pPr>
    </w:p>
    <w:p w14:paraId="443E203E">
      <w:pPr>
        <w:jc w:val="left"/>
        <w:rPr>
          <w:rFonts w:ascii="仿宋" w:hAnsi="仿宋" w:eastAsia="仿宋"/>
          <w:sz w:val="32"/>
          <w:szCs w:val="32"/>
        </w:rPr>
      </w:pPr>
    </w:p>
    <w:p w14:paraId="3FB003F1">
      <w:pPr>
        <w:jc w:val="left"/>
        <w:rPr>
          <w:rFonts w:ascii="仿宋" w:hAnsi="仿宋" w:eastAsia="仿宋"/>
          <w:sz w:val="32"/>
          <w:szCs w:val="32"/>
        </w:rPr>
      </w:pPr>
    </w:p>
    <w:p w14:paraId="1502ECEA">
      <w:pPr>
        <w:jc w:val="left"/>
        <w:rPr>
          <w:rFonts w:ascii="仿宋" w:hAnsi="仿宋" w:eastAsia="仿宋"/>
          <w:sz w:val="32"/>
          <w:szCs w:val="32"/>
        </w:rPr>
      </w:pPr>
    </w:p>
    <w:p w14:paraId="46DA43F6">
      <w:pPr>
        <w:jc w:val="center"/>
        <w:rPr>
          <w:rFonts w:ascii="黑体" w:hAnsi="黑体" w:eastAsia="黑体"/>
          <w:sz w:val="32"/>
          <w:szCs w:val="32"/>
        </w:rPr>
      </w:pPr>
    </w:p>
    <w:p w14:paraId="734281E0">
      <w:pPr>
        <w:jc w:val="center"/>
        <w:rPr>
          <w:rFonts w:ascii="黑体" w:hAnsi="黑体" w:eastAsia="黑体"/>
          <w:sz w:val="32"/>
          <w:szCs w:val="32"/>
        </w:rPr>
      </w:pPr>
      <w:r>
        <w:rPr>
          <w:rFonts w:hint="eastAsia" w:ascii="黑体" w:hAnsi="黑体" w:eastAsia="黑体"/>
          <w:sz w:val="32"/>
          <w:szCs w:val="32"/>
        </w:rPr>
        <w:t>第二部分  情况说明</w:t>
      </w:r>
    </w:p>
    <w:p w14:paraId="34DAD637">
      <w:pPr>
        <w:jc w:val="left"/>
        <w:rPr>
          <w:rFonts w:ascii="仿宋" w:hAnsi="仿宋" w:eastAsia="仿宋"/>
          <w:sz w:val="32"/>
          <w:szCs w:val="32"/>
        </w:rPr>
      </w:pPr>
      <w:r>
        <w:rPr>
          <w:rFonts w:hint="eastAsia" w:ascii="仿宋" w:hAnsi="仿宋" w:eastAsia="仿宋"/>
          <w:sz w:val="32"/>
          <w:szCs w:val="32"/>
        </w:rPr>
        <w:t xml:space="preserve"> </w:t>
      </w:r>
    </w:p>
    <w:p w14:paraId="386AA8AF">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一、2025年收支预算总体情况</w:t>
      </w:r>
    </w:p>
    <w:p w14:paraId="2C6C017D">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教育支出、社会保障和就业支出、住房保障支出等。2025年收支总预算 745.6万元，比 2024年预算数942.71万元减少197.11 万元，主要原因：在职人员减少，住房、养老保险等预算指标随之减少。</w:t>
      </w:r>
    </w:p>
    <w:p w14:paraId="3FDC74D5">
      <w:pPr>
        <w:pStyle w:val="11"/>
        <w:ind w:firstLine="640"/>
        <w:jc w:val="left"/>
        <w:rPr>
          <w:rFonts w:hint="eastAsia" w:ascii="楷体" w:hAnsi="楷体" w:eastAsia="楷体"/>
          <w:sz w:val="32"/>
          <w:szCs w:val="32"/>
        </w:rPr>
      </w:pPr>
      <w:r>
        <w:rPr>
          <w:rFonts w:hint="eastAsia" w:ascii="楷体" w:hAnsi="楷体" w:eastAsia="楷体"/>
          <w:sz w:val="32"/>
          <w:szCs w:val="32"/>
        </w:rPr>
        <w:t>二、2025年收入预算情况</w:t>
      </w:r>
    </w:p>
    <w:p w14:paraId="5658D66C">
      <w:pPr>
        <w:pStyle w:val="11"/>
        <w:ind w:firstLine="640"/>
        <w:jc w:val="left"/>
        <w:rPr>
          <w:rFonts w:ascii="仿宋" w:hAnsi="仿宋" w:eastAsia="仿宋"/>
          <w:sz w:val="32"/>
          <w:szCs w:val="32"/>
        </w:rPr>
      </w:pPr>
      <w:r>
        <w:rPr>
          <w:rFonts w:hint="eastAsia" w:ascii="仿宋" w:hAnsi="仿宋" w:eastAsia="仿宋"/>
          <w:sz w:val="32"/>
          <w:szCs w:val="32"/>
        </w:rPr>
        <w:t>2025年本单位收入预算745.6 万元，其中：一般公共预算收入 745.6万元，占100%；政府性基金收入 0 万元，占0%。</w:t>
      </w:r>
    </w:p>
    <w:p w14:paraId="4BB62AD4">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三、2025年支出预算情况</w:t>
      </w:r>
    </w:p>
    <w:p w14:paraId="0F9190E7">
      <w:pPr>
        <w:pStyle w:val="11"/>
        <w:ind w:firstLine="640" w:firstLineChars="200"/>
        <w:rPr>
          <w:rFonts w:ascii="仿宋" w:hAnsi="仿宋" w:eastAsia="仿宋"/>
          <w:sz w:val="32"/>
          <w:szCs w:val="32"/>
        </w:rPr>
      </w:pPr>
      <w:r>
        <w:rPr>
          <w:rFonts w:hint="eastAsia" w:ascii="仿宋" w:hAnsi="仿宋" w:eastAsia="仿宋"/>
          <w:sz w:val="32"/>
          <w:szCs w:val="32"/>
        </w:rPr>
        <w:t>2025年支出预算745.6万元，其中：基本支出 737.86 万元，占98.96%；项目支出 7.74万元，占1.04%。</w:t>
      </w:r>
    </w:p>
    <w:p w14:paraId="7F8E19A8">
      <w:pPr>
        <w:pStyle w:val="11"/>
        <w:ind w:firstLine="640" w:firstLineChars="200"/>
        <w:jc w:val="left"/>
        <w:rPr>
          <w:rFonts w:ascii="楷体" w:hAnsi="楷体" w:eastAsia="楷体"/>
          <w:sz w:val="32"/>
          <w:szCs w:val="32"/>
        </w:rPr>
      </w:pPr>
      <w:r>
        <w:rPr>
          <w:rFonts w:hint="eastAsia" w:ascii="楷体" w:hAnsi="楷体" w:eastAsia="楷体"/>
          <w:sz w:val="32"/>
          <w:szCs w:val="32"/>
        </w:rPr>
        <w:t>四、2025年财政拨款收支预算情况</w:t>
      </w:r>
    </w:p>
    <w:p w14:paraId="7B6B6F7F">
      <w:pPr>
        <w:pStyle w:val="11"/>
        <w:ind w:firstLine="640" w:firstLineChars="200"/>
        <w:rPr>
          <w:rFonts w:ascii="仿宋" w:hAnsi="仿宋" w:eastAsia="仿宋"/>
          <w:sz w:val="32"/>
          <w:szCs w:val="32"/>
        </w:rPr>
      </w:pPr>
      <w:r>
        <w:rPr>
          <w:rFonts w:hint="eastAsia" w:ascii="仿宋" w:hAnsi="仿宋" w:eastAsia="仿宋"/>
          <w:sz w:val="32"/>
          <w:szCs w:val="32"/>
        </w:rPr>
        <w:t>2025年财政拨款收支总预算745.6万元，其中：本年收入 745.6万元。本年支出745.6万元，支出包括：教育支出605.69万元，社会保障和就业支出79.27万元，住房保障支出60.64万元。</w:t>
      </w:r>
    </w:p>
    <w:p w14:paraId="63B012B4">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五、2025</w:t>
      </w:r>
      <w:r>
        <w:rPr>
          <w:rFonts w:hint="eastAsia" w:ascii="楷体" w:hAnsi="楷体" w:eastAsia="楷体"/>
          <w:kern w:val="0"/>
          <w:sz w:val="32"/>
          <w:szCs w:val="32"/>
        </w:rPr>
        <w:t>年一般公共预算支出情况</w:t>
      </w:r>
    </w:p>
    <w:p w14:paraId="58758C0F">
      <w:pPr>
        <w:ind w:firstLine="640" w:firstLineChars="200"/>
        <w:rPr>
          <w:rFonts w:ascii="仿宋" w:hAnsi="仿宋" w:eastAsia="仿宋"/>
          <w:sz w:val="32"/>
          <w:szCs w:val="32"/>
        </w:rPr>
      </w:pPr>
      <w:r>
        <w:rPr>
          <w:rFonts w:hint="eastAsia" w:ascii="仿宋" w:hAnsi="仿宋" w:eastAsia="仿宋"/>
          <w:sz w:val="32"/>
          <w:szCs w:val="32"/>
        </w:rPr>
        <w:t>2025年一般公共预算当年拨款745.6万元，其中：基本支出737.86万元，占98.96%；项目支出7.74万元，占1.04%。基本支出中，人员经费727.4</w:t>
      </w:r>
      <w:r>
        <w:rPr>
          <w:rFonts w:hint="eastAsia" w:ascii="仿宋" w:hAnsi="仿宋" w:eastAsia="仿宋"/>
          <w:sz w:val="32"/>
          <w:szCs w:val="32"/>
          <w:lang w:val="en-US" w:eastAsia="zh-CN"/>
        </w:rPr>
        <w:t>7</w:t>
      </w:r>
      <w:r>
        <w:rPr>
          <w:rFonts w:hint="eastAsia" w:ascii="仿宋" w:hAnsi="仿宋" w:eastAsia="仿宋"/>
          <w:sz w:val="32"/>
          <w:szCs w:val="32"/>
        </w:rPr>
        <w:t>万元，占98.59%；公用经费10.39万元，占1.41%。</w:t>
      </w:r>
    </w:p>
    <w:p w14:paraId="0606E72C">
      <w:pPr>
        <w:ind w:firstLine="640" w:firstLineChars="200"/>
        <w:rPr>
          <w:rFonts w:ascii="仿宋" w:hAnsi="仿宋" w:eastAsia="仿宋"/>
          <w:sz w:val="32"/>
          <w:szCs w:val="32"/>
        </w:rPr>
      </w:pPr>
      <w:r>
        <w:rPr>
          <w:rFonts w:hint="eastAsia" w:ascii="仿宋" w:hAnsi="仿宋" w:eastAsia="仿宋"/>
          <w:sz w:val="32"/>
          <w:szCs w:val="32"/>
        </w:rPr>
        <w:t>教育支出 605.69 万元，占81.24%，主要用于：本单位人员的工资福利支出及公用经费。</w:t>
      </w:r>
    </w:p>
    <w:p w14:paraId="36BCBD53">
      <w:pPr>
        <w:ind w:firstLine="640" w:firstLineChars="200"/>
        <w:rPr>
          <w:rFonts w:ascii="仿宋" w:hAnsi="仿宋" w:eastAsia="仿宋"/>
          <w:sz w:val="32"/>
          <w:szCs w:val="32"/>
        </w:rPr>
      </w:pPr>
      <w:r>
        <w:rPr>
          <w:rFonts w:hint="eastAsia" w:ascii="仿宋" w:hAnsi="仿宋" w:eastAsia="仿宋"/>
          <w:sz w:val="32"/>
          <w:szCs w:val="32"/>
        </w:rPr>
        <w:t>社会保障和就业（类）支出 79.27万元，占10.63%，主要用于：人员的事业单位社会养老保险支出。</w:t>
      </w:r>
    </w:p>
    <w:p w14:paraId="717E8524">
      <w:pPr>
        <w:ind w:firstLine="640" w:firstLineChars="200"/>
        <w:rPr>
          <w:rFonts w:ascii="仿宋" w:hAnsi="仿宋" w:eastAsia="仿宋"/>
          <w:sz w:val="32"/>
          <w:szCs w:val="32"/>
        </w:rPr>
      </w:pPr>
      <w:r>
        <w:rPr>
          <w:rFonts w:hint="eastAsia" w:ascii="仿宋" w:hAnsi="仿宋" w:eastAsia="仿宋"/>
          <w:sz w:val="32"/>
          <w:szCs w:val="32"/>
        </w:rPr>
        <w:t>住房保障（类）支出 60.64万元，占8.13%，主要用于：人员的住房公积金保障支出。</w:t>
      </w:r>
    </w:p>
    <w:p w14:paraId="51731253">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六、2025年一般公共预算基本支出情况</w:t>
      </w:r>
    </w:p>
    <w:p w14:paraId="03E06FF1">
      <w:pPr>
        <w:ind w:firstLine="640" w:firstLineChars="200"/>
        <w:rPr>
          <w:rFonts w:ascii="仿宋" w:hAnsi="仿宋" w:eastAsia="仿宋"/>
          <w:sz w:val="32"/>
          <w:szCs w:val="32"/>
        </w:rPr>
      </w:pPr>
      <w:r>
        <w:rPr>
          <w:rFonts w:hint="eastAsia" w:ascii="仿宋" w:hAnsi="仿宋" w:eastAsia="仿宋"/>
          <w:sz w:val="32"/>
          <w:szCs w:val="32"/>
        </w:rPr>
        <w:t>2025年一般公共预算基本支出 737.86 万元，其中：</w:t>
      </w:r>
    </w:p>
    <w:p w14:paraId="3764DA5D">
      <w:pPr>
        <w:ind w:firstLine="640" w:firstLineChars="200"/>
        <w:rPr>
          <w:rFonts w:ascii="仿宋" w:hAnsi="仿宋" w:eastAsia="仿宋"/>
          <w:sz w:val="32"/>
          <w:szCs w:val="32"/>
        </w:rPr>
      </w:pPr>
      <w:r>
        <w:rPr>
          <w:rFonts w:hint="eastAsia" w:ascii="仿宋" w:hAnsi="仿宋" w:eastAsia="仿宋"/>
          <w:sz w:val="32"/>
          <w:szCs w:val="32"/>
        </w:rPr>
        <w:t>人员经费727.4</w:t>
      </w:r>
      <w:r>
        <w:rPr>
          <w:rFonts w:hint="eastAsia" w:ascii="仿宋" w:hAnsi="仿宋" w:eastAsia="仿宋"/>
          <w:sz w:val="32"/>
          <w:szCs w:val="32"/>
          <w:lang w:val="en-US" w:eastAsia="zh-CN"/>
        </w:rPr>
        <w:t>7</w:t>
      </w:r>
      <w:r>
        <w:rPr>
          <w:rFonts w:hint="eastAsia" w:ascii="仿宋" w:hAnsi="仿宋" w:eastAsia="仿宋"/>
          <w:sz w:val="32"/>
          <w:szCs w:val="32"/>
        </w:rPr>
        <w:t>万元，主要包括：基本工资、津贴补贴、绩效工资、机关事业单位基本养老保险缴费、职工基本医疗保险缴费、其他社会保障缴费、住房公积金、生活补助、奖励金等；</w:t>
      </w:r>
    </w:p>
    <w:p w14:paraId="20197551">
      <w:pPr>
        <w:pStyle w:val="9"/>
        <w:ind w:firstLine="627" w:firstLineChars="196"/>
        <w:rPr>
          <w:rFonts w:ascii="仿宋" w:hAnsi="仿宋" w:eastAsia="仿宋"/>
          <w:kern w:val="0"/>
          <w:sz w:val="32"/>
          <w:szCs w:val="32"/>
        </w:rPr>
      </w:pPr>
      <w:r>
        <w:rPr>
          <w:rFonts w:hint="eastAsia" w:ascii="仿宋" w:hAnsi="仿宋" w:eastAsia="仿宋"/>
          <w:sz w:val="32"/>
          <w:szCs w:val="32"/>
        </w:rPr>
        <w:t>公用经费10.39万元，主要包括：工会经费。</w:t>
      </w:r>
    </w:p>
    <w:p w14:paraId="534BB0D7">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七、2025年一般公共预算财政拨款“三公经费”情况</w:t>
      </w:r>
    </w:p>
    <w:p w14:paraId="1CFA41F8">
      <w:pPr>
        <w:pStyle w:val="9"/>
        <w:ind w:firstLine="627" w:firstLineChars="196"/>
        <w:rPr>
          <w:rFonts w:ascii="仿宋" w:hAnsi="仿宋" w:eastAsia="仿宋"/>
          <w:kern w:val="0"/>
          <w:sz w:val="32"/>
          <w:szCs w:val="32"/>
        </w:rPr>
      </w:pPr>
      <w:r>
        <w:rPr>
          <w:rFonts w:hint="eastAsia" w:ascii="仿宋" w:hAnsi="仿宋" w:eastAsia="仿宋"/>
          <w:kern w:val="0"/>
          <w:sz w:val="32"/>
          <w:szCs w:val="32"/>
        </w:rPr>
        <w:t>2025年“三公”经费预算数0 万元，比2024年预算减少 0万元。其中：</w:t>
      </w:r>
    </w:p>
    <w:p w14:paraId="733A27D1">
      <w:pPr>
        <w:pStyle w:val="9"/>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2024年预算数相同。</w:t>
      </w:r>
    </w:p>
    <w:p w14:paraId="045C69E5">
      <w:pPr>
        <w:pStyle w:val="9"/>
        <w:ind w:left="105" w:leftChars="50" w:firstLine="467" w:firstLineChars="146"/>
        <w:rPr>
          <w:rFonts w:ascii="仿宋" w:hAnsi="仿宋" w:eastAsia="仿宋"/>
          <w:kern w:val="0"/>
          <w:sz w:val="32"/>
          <w:szCs w:val="32"/>
        </w:rPr>
      </w:pPr>
      <w:r>
        <w:rPr>
          <w:rFonts w:hint="eastAsia" w:ascii="仿宋" w:hAnsi="仿宋" w:eastAsia="仿宋"/>
          <w:kern w:val="0"/>
          <w:sz w:val="32"/>
          <w:szCs w:val="32"/>
        </w:rPr>
        <w:t>2.公务接待费 0 万元，比 2024年预算数减少 0 万元。</w:t>
      </w:r>
    </w:p>
    <w:p w14:paraId="13B8D82A">
      <w:pPr>
        <w:pStyle w:val="9"/>
        <w:ind w:left="105" w:leftChars="50" w:firstLine="467" w:firstLineChars="146"/>
        <w:rPr>
          <w:rFonts w:ascii="仿宋" w:hAnsi="仿宋" w:eastAsia="仿宋"/>
          <w:kern w:val="0"/>
          <w:sz w:val="32"/>
          <w:szCs w:val="32"/>
        </w:rPr>
      </w:pPr>
      <w:r>
        <w:rPr>
          <w:rFonts w:hint="eastAsia" w:ascii="仿宋" w:hAnsi="仿宋" w:eastAsia="仿宋"/>
          <w:kern w:val="0"/>
          <w:sz w:val="32"/>
          <w:szCs w:val="32"/>
        </w:rPr>
        <w:t>3.公务用车购置及运行费 0万元，比 2024 年预算数减</w:t>
      </w:r>
    </w:p>
    <w:p w14:paraId="7E6A4C9B">
      <w:pPr>
        <w:pStyle w:val="9"/>
        <w:rPr>
          <w:rFonts w:ascii="仿宋" w:hAnsi="仿宋" w:eastAsia="仿宋"/>
          <w:kern w:val="0"/>
          <w:sz w:val="32"/>
          <w:szCs w:val="32"/>
        </w:rPr>
      </w:pPr>
      <w:r>
        <w:rPr>
          <w:rFonts w:hint="eastAsia" w:ascii="仿宋" w:hAnsi="仿宋" w:eastAsia="仿宋"/>
          <w:kern w:val="0"/>
          <w:sz w:val="32"/>
          <w:szCs w:val="32"/>
        </w:rPr>
        <w:t>少 0万元。</w:t>
      </w:r>
    </w:p>
    <w:p w14:paraId="54313755">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八、2025年政府性基金预算支出情况</w:t>
      </w:r>
    </w:p>
    <w:p w14:paraId="56F38F0B">
      <w:pPr>
        <w:ind w:firstLine="640" w:firstLineChars="200"/>
        <w:jc w:val="left"/>
        <w:rPr>
          <w:rFonts w:ascii="仿宋" w:hAnsi="仿宋" w:eastAsia="仿宋"/>
          <w:sz w:val="32"/>
          <w:szCs w:val="32"/>
        </w:rPr>
      </w:pPr>
      <w:r>
        <w:rPr>
          <w:rFonts w:hint="eastAsia" w:ascii="仿宋" w:hAnsi="仿宋" w:eastAsia="仿宋"/>
          <w:sz w:val="32"/>
          <w:szCs w:val="32"/>
        </w:rPr>
        <w:t>2025年本单位无政府性基金预算支出。</w:t>
      </w:r>
    </w:p>
    <w:p w14:paraId="0DF34B78">
      <w:pPr>
        <w:pStyle w:val="9"/>
        <w:ind w:firstLine="640"/>
        <w:rPr>
          <w:rFonts w:ascii="楷体" w:hAnsi="楷体" w:eastAsia="楷体" w:cs="楷体"/>
          <w:sz w:val="32"/>
          <w:szCs w:val="32"/>
        </w:rPr>
      </w:pPr>
      <w:r>
        <w:rPr>
          <w:rFonts w:hint="eastAsia" w:ascii="楷体" w:hAnsi="楷体" w:eastAsia="楷体" w:cs="楷体"/>
          <w:sz w:val="32"/>
          <w:szCs w:val="32"/>
        </w:rPr>
        <w:t>九、2025年国有资本经营预算支出情况</w:t>
      </w:r>
    </w:p>
    <w:p w14:paraId="094E0363">
      <w:pPr>
        <w:ind w:firstLine="640" w:firstLineChars="200"/>
        <w:jc w:val="left"/>
        <w:rPr>
          <w:rFonts w:ascii="仿宋" w:hAnsi="仿宋" w:eastAsia="仿宋"/>
          <w:sz w:val="32"/>
          <w:szCs w:val="32"/>
        </w:rPr>
      </w:pPr>
      <w:r>
        <w:rPr>
          <w:rFonts w:hint="eastAsia" w:ascii="仿宋" w:hAnsi="仿宋" w:eastAsia="仿宋"/>
          <w:sz w:val="32"/>
          <w:szCs w:val="32"/>
        </w:rPr>
        <w:t>2025年本单位无国有资本经营预算支出。</w:t>
      </w:r>
    </w:p>
    <w:p w14:paraId="36411CC0">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7DA0131B">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042224E8">
      <w:pPr>
        <w:pStyle w:val="8"/>
        <w:ind w:firstLine="640"/>
        <w:rPr>
          <w:rFonts w:ascii="仿宋" w:hAnsi="仿宋" w:eastAsia="仿宋"/>
          <w:sz w:val="32"/>
          <w:szCs w:val="32"/>
        </w:rPr>
      </w:pPr>
      <w:r>
        <w:rPr>
          <w:rFonts w:hint="eastAsia" w:ascii="仿宋" w:hAnsi="仿宋" w:eastAsia="仿宋"/>
          <w:sz w:val="32"/>
          <w:szCs w:val="32"/>
        </w:rPr>
        <w:t>2025年本单位机关运行经费，商品服务支出10.39万元。</w:t>
      </w:r>
    </w:p>
    <w:p w14:paraId="5F17B2E6">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36D773D5">
      <w:pPr>
        <w:ind w:firstLine="640" w:firstLineChars="200"/>
        <w:jc w:val="left"/>
        <w:rPr>
          <w:rFonts w:ascii="仿宋" w:hAnsi="仿宋" w:eastAsia="仿宋"/>
          <w:sz w:val="32"/>
          <w:szCs w:val="32"/>
        </w:rPr>
      </w:pPr>
      <w:r>
        <w:rPr>
          <w:rFonts w:hint="eastAsia" w:ascii="仿宋" w:hAnsi="仿宋" w:eastAsia="仿宋"/>
          <w:sz w:val="32"/>
          <w:szCs w:val="32"/>
        </w:rPr>
        <w:t>2025年政府采购预算总额0万元，其中：政府采购办公设备和其他设备预算0万元，政府采购工程预算0 万元，政府采购服务预算 0万元。</w:t>
      </w:r>
    </w:p>
    <w:p w14:paraId="7459A89A">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2A452644">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截至2025年1月，部门本级和所属各预算单位共有车辆0辆，价值200万元以上大型设备0台（套）。</w:t>
      </w:r>
    </w:p>
    <w:p w14:paraId="5786F46E">
      <w:pPr>
        <w:pStyle w:val="8"/>
        <w:ind w:firstLine="640"/>
        <w:jc w:val="left"/>
        <w:rPr>
          <w:rFonts w:ascii="仿宋" w:hAnsi="仿宋" w:eastAsia="仿宋"/>
          <w:sz w:val="32"/>
          <w:szCs w:val="32"/>
        </w:rPr>
      </w:pPr>
      <w:r>
        <w:rPr>
          <w:rFonts w:hint="eastAsia" w:ascii="仿宋" w:hAnsi="仿宋" w:eastAsia="仿宋"/>
          <w:sz w:val="32"/>
          <w:szCs w:val="32"/>
        </w:rPr>
        <w:t>2025年部门预算安排购置车辆及价值200万元以上大型设备0万元。</w:t>
      </w:r>
    </w:p>
    <w:p w14:paraId="610B59A5">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721C830D">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按照全面实施预算绩效管理的要求，结合本部门职能和重点工作，2025年将4个项目支出的绩效目标和指标向社会公开，涉及金额7.74万元。</w:t>
      </w:r>
    </w:p>
    <w:p w14:paraId="02C67FB0">
      <w:pPr>
        <w:jc w:val="center"/>
        <w:rPr>
          <w:rFonts w:ascii="仿宋" w:hAnsi="仿宋" w:eastAsia="仿宋"/>
          <w:sz w:val="32"/>
          <w:szCs w:val="32"/>
        </w:rPr>
      </w:pPr>
    </w:p>
    <w:p w14:paraId="07A6764E">
      <w:pPr>
        <w:jc w:val="center"/>
        <w:rPr>
          <w:rFonts w:ascii="黑体" w:hAnsi="黑体" w:eastAsia="黑体"/>
          <w:sz w:val="32"/>
          <w:szCs w:val="32"/>
        </w:rPr>
      </w:pPr>
      <w:r>
        <w:rPr>
          <w:rFonts w:hint="eastAsia" w:ascii="黑体" w:hAnsi="黑体" w:eastAsia="黑体"/>
          <w:sz w:val="32"/>
          <w:szCs w:val="32"/>
        </w:rPr>
        <w:t>第三部分  名词解释</w:t>
      </w:r>
    </w:p>
    <w:p w14:paraId="3236BDA0">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1E6A380D">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01D1A784">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4AA3B5C1">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765C6E88">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0FB6C54A">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42F31611">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348D6577">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16B917B5">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5604F170">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269B49BC">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2768408">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678897BB">
      <w:pPr>
        <w:ind w:firstLine="640" w:firstLineChars="200"/>
        <w:rPr>
          <w:rFonts w:ascii="仿宋_GB2312" w:eastAsia="仿宋_GB2312"/>
          <w:sz w:val="32"/>
          <w:szCs w:val="32"/>
        </w:rPr>
      </w:pPr>
    </w:p>
    <w:p w14:paraId="00BFBC7A">
      <w:pPr>
        <w:jc w:val="left"/>
        <w:rPr>
          <w:rFonts w:ascii="仿宋" w:hAnsi="仿宋" w:eastAsia="仿宋"/>
          <w:sz w:val="32"/>
          <w:szCs w:val="32"/>
        </w:rPr>
      </w:pPr>
      <w:r>
        <w:rPr>
          <w:rFonts w:hint="eastAsia" w:ascii="仿宋" w:hAnsi="仿宋" w:eastAsia="仿宋"/>
          <w:sz w:val="32"/>
          <w:szCs w:val="32"/>
        </w:rPr>
        <w:t xml:space="preserve"> </w:t>
      </w:r>
    </w:p>
    <w:p w14:paraId="0B97499A">
      <w:pPr>
        <w:jc w:val="left"/>
        <w:rPr>
          <w:rFonts w:ascii="仿宋" w:hAnsi="仿宋" w:eastAsia="仿宋"/>
          <w:sz w:val="32"/>
          <w:szCs w:val="32"/>
        </w:rPr>
      </w:pPr>
    </w:p>
    <w:p w14:paraId="3F2FF7E7">
      <w:pPr>
        <w:jc w:val="left"/>
        <w:rPr>
          <w:rFonts w:ascii="仿宋" w:hAnsi="仿宋" w:eastAsia="仿宋"/>
          <w:sz w:val="32"/>
          <w:szCs w:val="32"/>
        </w:rPr>
      </w:pPr>
    </w:p>
    <w:p w14:paraId="2A39B4E1">
      <w:pPr>
        <w:jc w:val="left"/>
        <w:rPr>
          <w:rFonts w:ascii="仿宋" w:hAnsi="仿宋" w:eastAsia="仿宋"/>
          <w:sz w:val="32"/>
          <w:szCs w:val="32"/>
        </w:rPr>
      </w:pPr>
    </w:p>
    <w:p w14:paraId="2A39B6E2">
      <w:pPr>
        <w:jc w:val="left"/>
        <w:rPr>
          <w:rFonts w:ascii="仿宋" w:hAnsi="仿宋" w:eastAsia="仿宋"/>
          <w:sz w:val="32"/>
          <w:szCs w:val="32"/>
        </w:rPr>
      </w:pPr>
    </w:p>
    <w:p w14:paraId="612D1FC7">
      <w:pPr>
        <w:jc w:val="center"/>
        <w:rPr>
          <w:rFonts w:ascii="仿宋" w:hAnsi="仿宋" w:eastAsia="仿宋"/>
          <w:sz w:val="32"/>
          <w:szCs w:val="32"/>
        </w:rPr>
      </w:pPr>
      <w:r>
        <w:rPr>
          <w:rFonts w:hint="eastAsia" w:ascii="黑体" w:hAnsi="黑体" w:eastAsia="黑体"/>
          <w:sz w:val="32"/>
          <w:szCs w:val="32"/>
        </w:rPr>
        <w:t>第四部分  预算表格</w:t>
      </w:r>
    </w:p>
    <w:p w14:paraId="3CE95560">
      <w:pPr>
        <w:ind w:firstLine="640" w:firstLineChars="200"/>
        <w:jc w:val="left"/>
        <w:rPr>
          <w:rFonts w:hint="eastAsia" w:ascii="仿宋" w:hAnsi="仿宋" w:eastAsia="仿宋"/>
          <w:sz w:val="32"/>
          <w:szCs w:val="32"/>
        </w:rPr>
      </w:pPr>
    </w:p>
    <w:p w14:paraId="1C63AA22">
      <w:pPr>
        <w:ind w:firstLine="640" w:firstLineChars="200"/>
        <w:jc w:val="left"/>
        <w:rPr>
          <w:rFonts w:ascii="仿宋" w:hAnsi="仿宋" w:eastAsia="仿宋"/>
          <w:sz w:val="32"/>
          <w:szCs w:val="32"/>
        </w:rPr>
      </w:pPr>
      <w:r>
        <w:rPr>
          <w:rFonts w:hint="eastAsia" w:ascii="仿宋" w:hAnsi="仿宋" w:eastAsia="仿宋"/>
          <w:sz w:val="32"/>
          <w:szCs w:val="32"/>
        </w:rPr>
        <w:t>2025年部门预算表套表（预算一体化系统报表查询模块中提取相应数据）。</w:t>
      </w:r>
    </w:p>
    <w:p w14:paraId="26FFD945">
      <w:pPr>
        <w:rPr>
          <w:rFonts w:ascii="仿宋" w:hAnsi="仿宋" w:eastAsia="仿宋"/>
          <w:sz w:val="32"/>
          <w:szCs w:val="32"/>
        </w:rPr>
      </w:pPr>
      <w:bookmarkStart w:id="2" w:name="_GoBack"/>
      <w:bookmarkEnd w:id="2"/>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82527"/>
    <w:rsid w:val="000F2EE4"/>
    <w:rsid w:val="00124BCE"/>
    <w:rsid w:val="00170416"/>
    <w:rsid w:val="00197A4E"/>
    <w:rsid w:val="001A4D62"/>
    <w:rsid w:val="001E24AD"/>
    <w:rsid w:val="001F239D"/>
    <w:rsid w:val="00242E9B"/>
    <w:rsid w:val="00251CE0"/>
    <w:rsid w:val="00251F84"/>
    <w:rsid w:val="002D6605"/>
    <w:rsid w:val="002E0B3B"/>
    <w:rsid w:val="002F1115"/>
    <w:rsid w:val="002F3222"/>
    <w:rsid w:val="00337C85"/>
    <w:rsid w:val="00345E5B"/>
    <w:rsid w:val="00357E92"/>
    <w:rsid w:val="00380C14"/>
    <w:rsid w:val="003B5F35"/>
    <w:rsid w:val="003D00F0"/>
    <w:rsid w:val="004176EB"/>
    <w:rsid w:val="00431799"/>
    <w:rsid w:val="004763A7"/>
    <w:rsid w:val="00482664"/>
    <w:rsid w:val="004C1015"/>
    <w:rsid w:val="00507984"/>
    <w:rsid w:val="005619DF"/>
    <w:rsid w:val="00567D16"/>
    <w:rsid w:val="00572D27"/>
    <w:rsid w:val="00576DB1"/>
    <w:rsid w:val="0059597A"/>
    <w:rsid w:val="005962B6"/>
    <w:rsid w:val="005C384D"/>
    <w:rsid w:val="005F0428"/>
    <w:rsid w:val="00622E82"/>
    <w:rsid w:val="00647F9E"/>
    <w:rsid w:val="0068397F"/>
    <w:rsid w:val="006954BF"/>
    <w:rsid w:val="0070381C"/>
    <w:rsid w:val="00722D32"/>
    <w:rsid w:val="00740031"/>
    <w:rsid w:val="00745992"/>
    <w:rsid w:val="00746DAF"/>
    <w:rsid w:val="007663EF"/>
    <w:rsid w:val="00770198"/>
    <w:rsid w:val="0078203E"/>
    <w:rsid w:val="007B276D"/>
    <w:rsid w:val="007D3846"/>
    <w:rsid w:val="00806CC6"/>
    <w:rsid w:val="00815C4B"/>
    <w:rsid w:val="00823716"/>
    <w:rsid w:val="00825E81"/>
    <w:rsid w:val="0089282A"/>
    <w:rsid w:val="008B501D"/>
    <w:rsid w:val="00942596"/>
    <w:rsid w:val="00971A2E"/>
    <w:rsid w:val="009A3FBB"/>
    <w:rsid w:val="009C3948"/>
    <w:rsid w:val="009E4C36"/>
    <w:rsid w:val="00A12A00"/>
    <w:rsid w:val="00A26DC8"/>
    <w:rsid w:val="00A31D89"/>
    <w:rsid w:val="00A35B84"/>
    <w:rsid w:val="00A3789D"/>
    <w:rsid w:val="00A64FF7"/>
    <w:rsid w:val="00A67CC2"/>
    <w:rsid w:val="00A73987"/>
    <w:rsid w:val="00A752E3"/>
    <w:rsid w:val="00AA7FB0"/>
    <w:rsid w:val="00AE2415"/>
    <w:rsid w:val="00AE2F02"/>
    <w:rsid w:val="00AF32ED"/>
    <w:rsid w:val="00B03AD0"/>
    <w:rsid w:val="00B2091C"/>
    <w:rsid w:val="00B27940"/>
    <w:rsid w:val="00B36C0B"/>
    <w:rsid w:val="00B51FF5"/>
    <w:rsid w:val="00B62C43"/>
    <w:rsid w:val="00B74A8E"/>
    <w:rsid w:val="00BD7B81"/>
    <w:rsid w:val="00C37526"/>
    <w:rsid w:val="00C477D7"/>
    <w:rsid w:val="00C61D37"/>
    <w:rsid w:val="00C86F3F"/>
    <w:rsid w:val="00CB2087"/>
    <w:rsid w:val="00CC2C0E"/>
    <w:rsid w:val="00CE6FE2"/>
    <w:rsid w:val="00CF2385"/>
    <w:rsid w:val="00CF7FF2"/>
    <w:rsid w:val="00D463CF"/>
    <w:rsid w:val="00D54CC0"/>
    <w:rsid w:val="00DA2F9D"/>
    <w:rsid w:val="00DA5EFE"/>
    <w:rsid w:val="00DB4298"/>
    <w:rsid w:val="00DB7904"/>
    <w:rsid w:val="00DC6B72"/>
    <w:rsid w:val="00DF38C6"/>
    <w:rsid w:val="00E168F9"/>
    <w:rsid w:val="00E20B1E"/>
    <w:rsid w:val="00E343EE"/>
    <w:rsid w:val="00E53AE6"/>
    <w:rsid w:val="00E81EF4"/>
    <w:rsid w:val="00EA359C"/>
    <w:rsid w:val="00EB321B"/>
    <w:rsid w:val="00ED0CE4"/>
    <w:rsid w:val="00EE0570"/>
    <w:rsid w:val="00F30AB2"/>
    <w:rsid w:val="00F51569"/>
    <w:rsid w:val="00FD1DC5"/>
    <w:rsid w:val="00FE1935"/>
    <w:rsid w:val="00FF36E7"/>
    <w:rsid w:val="01640BD1"/>
    <w:rsid w:val="018E6F43"/>
    <w:rsid w:val="01EC1B1D"/>
    <w:rsid w:val="034968DF"/>
    <w:rsid w:val="03D7309C"/>
    <w:rsid w:val="03F014FB"/>
    <w:rsid w:val="03F248D4"/>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6273D08"/>
    <w:rsid w:val="368F70D3"/>
    <w:rsid w:val="37361A0B"/>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30260DD"/>
    <w:rsid w:val="442476FC"/>
    <w:rsid w:val="46345885"/>
    <w:rsid w:val="46B15537"/>
    <w:rsid w:val="46C17DAD"/>
    <w:rsid w:val="46F64D5D"/>
    <w:rsid w:val="49B81F53"/>
    <w:rsid w:val="4AAC7860"/>
    <w:rsid w:val="4CDB40F9"/>
    <w:rsid w:val="4D0265B8"/>
    <w:rsid w:val="4D8021B9"/>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91F508E"/>
    <w:rsid w:val="6A340295"/>
    <w:rsid w:val="6A5666B8"/>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310F95"/>
    <w:rsid w:val="77FC6956"/>
    <w:rsid w:val="7A64282A"/>
    <w:rsid w:val="7A8D6ADA"/>
    <w:rsid w:val="7AE2097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9</Pages>
  <Words>2374</Words>
  <Characters>2635</Characters>
  <Lines>20</Lines>
  <Paragraphs>5</Paragraphs>
  <TotalTime>201</TotalTime>
  <ScaleCrop>false</ScaleCrop>
  <LinksUpToDate>false</LinksUpToDate>
  <CharactersWithSpaces>2734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admin</cp:lastModifiedBy>
  <dcterms:modified xsi:type="dcterms:W3CDTF">2025-04-08T01:11:10Z</dcterms:modified>
  <cp:revision>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015E53AB75C04A42A540DA5266089B66</vt:lpwstr>
  </property>
  <property fmtid="{D5CDD505-2E9C-101B-9397-08002B2CF9AE}" pid="4" name="KSOTemplateDocerSaveRecord">
    <vt:lpwstr>eyJoZGlkIjoiMmNmZWJhOTdhYjg1MGExNmM1MWI5ZjdkODk5MzE4NTEifQ==</vt:lpwstr>
  </property>
</Properties>
</file>