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18F373B">
      <w:pPr>
        <w:jc w:val="center"/>
        <w:rPr>
          <w:rFonts w:hint="eastAsia" w:ascii="黑体" w:hAnsi="黑体" w:eastAsia="黑体"/>
          <w:color w:val="auto"/>
          <w:sz w:val="52"/>
          <w:szCs w:val="52"/>
          <w:highlight w:val="none"/>
          <w:lang w:val="en-US" w:eastAsia="zh-CN"/>
        </w:rPr>
      </w:pPr>
      <w:r>
        <w:rPr>
          <w:rFonts w:hint="eastAsia" w:ascii="黑体" w:hAnsi="黑体" w:eastAsia="黑体"/>
          <w:color w:val="auto"/>
          <w:sz w:val="52"/>
          <w:szCs w:val="52"/>
          <w:highlight w:val="none"/>
          <w:lang w:val="en-US" w:eastAsia="zh-CN"/>
        </w:rPr>
        <w:t>永吉县万昌镇中心卫生院</w:t>
      </w:r>
    </w:p>
    <w:p w14:paraId="0050A5F4">
      <w:pPr>
        <w:jc w:val="center"/>
        <w:rPr>
          <w:rFonts w:ascii="黑体" w:hAnsi="黑体" w:eastAsia="黑体"/>
          <w:color w:val="auto"/>
          <w:sz w:val="52"/>
          <w:szCs w:val="52"/>
        </w:rPr>
      </w:pPr>
      <w:r>
        <w:rPr>
          <w:rFonts w:hint="eastAsia" w:ascii="黑体" w:hAnsi="黑体" w:eastAsia="黑体"/>
          <w:color w:val="auto"/>
          <w:sz w:val="52"/>
          <w:szCs w:val="52"/>
        </w:rPr>
        <w:t>202</w:t>
      </w:r>
      <w:r>
        <w:rPr>
          <w:rFonts w:hint="eastAsia" w:ascii="黑体" w:hAnsi="黑体" w:eastAsia="黑体"/>
          <w:color w:val="auto"/>
          <w:sz w:val="52"/>
          <w:szCs w:val="52"/>
          <w:lang w:val="en-US" w:eastAsia="zh-CN"/>
        </w:rPr>
        <w:t>5</w:t>
      </w:r>
      <w:r>
        <w:rPr>
          <w:rFonts w:hint="eastAsia" w:ascii="黑体" w:hAnsi="黑体" w:eastAsia="黑体"/>
          <w:color w:val="auto"/>
          <w:sz w:val="52"/>
          <w:szCs w:val="52"/>
        </w:rPr>
        <w:t>年部门预算</w:t>
      </w:r>
    </w:p>
    <w:p w14:paraId="5C42AB12">
      <w:pPr>
        <w:jc w:val="center"/>
        <w:rPr>
          <w:rFonts w:ascii="黑体" w:hAnsi="黑体" w:eastAsia="黑体"/>
          <w:color w:val="auto"/>
          <w:sz w:val="44"/>
          <w:szCs w:val="44"/>
        </w:rPr>
      </w:pPr>
    </w:p>
    <w:p w14:paraId="5EF162CE">
      <w:pPr>
        <w:jc w:val="center"/>
        <w:rPr>
          <w:rFonts w:ascii="黑体" w:hAnsi="黑体" w:eastAsia="黑体"/>
          <w:color w:val="auto"/>
          <w:sz w:val="44"/>
          <w:szCs w:val="44"/>
        </w:rPr>
      </w:pPr>
    </w:p>
    <w:p w14:paraId="6D7738A2">
      <w:pPr>
        <w:jc w:val="center"/>
        <w:rPr>
          <w:rFonts w:ascii="黑体" w:hAnsi="黑体" w:eastAsia="黑体"/>
          <w:color w:val="auto"/>
          <w:sz w:val="44"/>
          <w:szCs w:val="44"/>
        </w:rPr>
      </w:pPr>
    </w:p>
    <w:p w14:paraId="1997C969">
      <w:pPr>
        <w:jc w:val="center"/>
        <w:rPr>
          <w:rFonts w:ascii="黑体" w:hAnsi="黑体" w:eastAsia="黑体"/>
          <w:color w:val="auto"/>
          <w:sz w:val="44"/>
          <w:szCs w:val="44"/>
        </w:rPr>
      </w:pPr>
    </w:p>
    <w:p w14:paraId="4F4ABFCB">
      <w:pPr>
        <w:jc w:val="center"/>
        <w:rPr>
          <w:rFonts w:ascii="黑体" w:hAnsi="黑体" w:eastAsia="黑体"/>
          <w:color w:val="auto"/>
          <w:sz w:val="44"/>
          <w:szCs w:val="44"/>
        </w:rPr>
      </w:pPr>
    </w:p>
    <w:p w14:paraId="6E03DA41">
      <w:pPr>
        <w:jc w:val="center"/>
        <w:rPr>
          <w:rFonts w:ascii="黑体" w:hAnsi="黑体" w:eastAsia="黑体"/>
          <w:color w:val="auto"/>
          <w:sz w:val="44"/>
          <w:szCs w:val="44"/>
        </w:rPr>
      </w:pPr>
    </w:p>
    <w:p w14:paraId="34D8D65D">
      <w:pPr>
        <w:jc w:val="center"/>
        <w:rPr>
          <w:rFonts w:ascii="黑体" w:hAnsi="黑体" w:eastAsia="黑体"/>
          <w:color w:val="auto"/>
          <w:sz w:val="44"/>
          <w:szCs w:val="44"/>
        </w:rPr>
      </w:pPr>
    </w:p>
    <w:p w14:paraId="01FD5D38">
      <w:pPr>
        <w:jc w:val="center"/>
        <w:rPr>
          <w:rFonts w:ascii="黑体" w:hAnsi="黑体" w:eastAsia="黑体"/>
          <w:color w:val="auto"/>
          <w:sz w:val="44"/>
          <w:szCs w:val="44"/>
        </w:rPr>
      </w:pPr>
    </w:p>
    <w:p w14:paraId="380AB34E">
      <w:pPr>
        <w:jc w:val="center"/>
        <w:rPr>
          <w:rFonts w:ascii="黑体" w:hAnsi="黑体" w:eastAsia="黑体"/>
          <w:color w:val="auto"/>
          <w:sz w:val="44"/>
          <w:szCs w:val="44"/>
        </w:rPr>
      </w:pPr>
    </w:p>
    <w:p w14:paraId="628D9189">
      <w:pPr>
        <w:jc w:val="center"/>
        <w:rPr>
          <w:rFonts w:ascii="黑体" w:hAnsi="黑体" w:eastAsia="黑体"/>
          <w:color w:val="auto"/>
          <w:sz w:val="44"/>
          <w:szCs w:val="44"/>
        </w:rPr>
      </w:pPr>
    </w:p>
    <w:p w14:paraId="6EA5914F">
      <w:pPr>
        <w:jc w:val="center"/>
        <w:rPr>
          <w:rFonts w:ascii="黑体" w:hAnsi="黑体" w:eastAsia="黑体"/>
          <w:color w:val="auto"/>
          <w:sz w:val="44"/>
          <w:szCs w:val="44"/>
          <w:highlight w:val="none"/>
        </w:rPr>
      </w:pPr>
      <w:r>
        <w:rPr>
          <w:rFonts w:hint="eastAsia" w:ascii="黑体" w:hAnsi="黑体" w:eastAsia="黑体"/>
          <w:color w:val="auto"/>
          <w:sz w:val="44"/>
          <w:szCs w:val="44"/>
          <w:highlight w:val="none"/>
        </w:rPr>
        <w:t>二〇二</w:t>
      </w:r>
      <w:r>
        <w:rPr>
          <w:rFonts w:hint="eastAsia" w:ascii="黑体" w:hAnsi="黑体" w:eastAsia="黑体"/>
          <w:color w:val="auto"/>
          <w:sz w:val="44"/>
          <w:szCs w:val="44"/>
          <w:highlight w:val="none"/>
          <w:lang w:eastAsia="zh-CN"/>
        </w:rPr>
        <w:t>五</w:t>
      </w:r>
      <w:r>
        <w:rPr>
          <w:rFonts w:hint="eastAsia" w:ascii="黑体" w:hAnsi="黑体" w:eastAsia="黑体"/>
          <w:color w:val="auto"/>
          <w:sz w:val="44"/>
          <w:szCs w:val="44"/>
          <w:highlight w:val="none"/>
        </w:rPr>
        <w:t>年一月</w:t>
      </w:r>
      <w:r>
        <w:rPr>
          <w:rFonts w:hint="eastAsia" w:ascii="黑体" w:hAnsi="黑体" w:eastAsia="黑体"/>
          <w:color w:val="auto"/>
          <w:sz w:val="44"/>
          <w:szCs w:val="44"/>
          <w:highlight w:val="none"/>
          <w:lang w:eastAsia="zh-CN"/>
        </w:rPr>
        <w:t>三</w:t>
      </w:r>
      <w:r>
        <w:rPr>
          <w:rFonts w:hint="eastAsia" w:ascii="黑体" w:hAnsi="黑体" w:eastAsia="黑体"/>
          <w:color w:val="auto"/>
          <w:sz w:val="44"/>
          <w:szCs w:val="44"/>
          <w:highlight w:val="none"/>
        </w:rPr>
        <w:t>日</w:t>
      </w:r>
    </w:p>
    <w:p w14:paraId="2F1615F9">
      <w:pPr>
        <w:jc w:val="center"/>
        <w:rPr>
          <w:rFonts w:ascii="黑体" w:hAnsi="黑体" w:eastAsia="黑体"/>
          <w:color w:val="auto"/>
          <w:sz w:val="44"/>
          <w:szCs w:val="44"/>
        </w:rPr>
      </w:pPr>
    </w:p>
    <w:p w14:paraId="357EC0AC">
      <w:pPr>
        <w:jc w:val="center"/>
        <w:rPr>
          <w:rFonts w:ascii="黑体" w:hAnsi="黑体" w:eastAsia="黑体"/>
          <w:color w:val="auto"/>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val="en-US" w:eastAsia="zh-CN"/>
        </w:rPr>
        <w:t>永吉县万昌镇中心卫生院</w:t>
      </w:r>
      <w:r>
        <w:rPr>
          <w:rFonts w:hint="eastAsia" w:ascii="黑体" w:hAnsi="黑体" w:eastAsia="黑体"/>
          <w:sz w:val="44"/>
          <w:szCs w:val="44"/>
          <w:highlight w:val="none"/>
        </w:rPr>
        <w:t>20</w:t>
      </w:r>
      <w:r>
        <w:rPr>
          <w:rFonts w:hint="eastAsia" w:ascii="黑体" w:hAnsi="黑体" w:eastAsia="黑体"/>
          <w:sz w:val="44"/>
          <w:szCs w:val="44"/>
        </w:rPr>
        <w:t>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5ED2558B">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永吉县万昌镇中心卫生院</w:t>
      </w:r>
    </w:p>
    <w:p w14:paraId="1627627F">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bCs/>
          <w:kern w:val="0"/>
          <w:sz w:val="32"/>
          <w:szCs w:val="32"/>
          <w:lang w:val="en-US" w:eastAsia="zh-CN"/>
        </w:rPr>
        <w:t>财政全额拨款单位</w:t>
      </w:r>
    </w:p>
    <w:p w14:paraId="32C940BB">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本部门主要职责是为人民身体健康提供医疗与预防保健服务常见多发病诊治，院前急救、护理与治疗</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同时开展居民健康档案、健康教育、预防接种、0-6岁儿童健康管理、老年人健康管理、慢性病（高血压和2型糖尿病）患者健康管理、严重精神障碍患者管理，肺结核患者健康管理、中医药健康管理、传染病及突发公共卫生事件报告和处理、卫生监督协管等12类项目。</w:t>
      </w:r>
    </w:p>
    <w:p w14:paraId="379ABB13">
      <w:pPr>
        <w:pStyle w:val="10"/>
        <w:widowControl/>
        <w:spacing w:line="620" w:lineRule="exact"/>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我院开展预防保健科、全科医疗科、内科、外科、妇产科、妇科专业、儿科、耳鼻咽喉科、口腔科、康复医学科、临终关怀科、医学检验科、医学影像科、中医科。</w:t>
      </w:r>
    </w:p>
    <w:p w14:paraId="6D752CA2">
      <w:pPr>
        <w:pStyle w:val="10"/>
        <w:widowControl/>
        <w:spacing w:line="620" w:lineRule="exact"/>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_GB2312" w:eastAsia="仿宋_GB2312"/>
          <w:sz w:val="32"/>
          <w:szCs w:val="32"/>
        </w:rPr>
        <w:t>本部门内设机构（二级单位）</w:t>
      </w:r>
      <w:r>
        <w:rPr>
          <w:rFonts w:hint="eastAsia" w:ascii="仿宋_GB2312" w:eastAsia="仿宋_GB2312"/>
          <w:sz w:val="32"/>
          <w:szCs w:val="32"/>
          <w:lang w:val="en-US" w:eastAsia="zh-CN"/>
        </w:rPr>
        <w:t>1</w:t>
      </w:r>
      <w:r>
        <w:rPr>
          <w:rFonts w:hint="eastAsia" w:ascii="仿宋_GB2312" w:eastAsia="仿宋_GB2312"/>
          <w:sz w:val="32"/>
          <w:szCs w:val="32"/>
        </w:rPr>
        <w:t>个</w:t>
      </w:r>
      <w:r>
        <w:rPr>
          <w:rFonts w:hint="eastAsia" w:ascii="仿宋" w:hAnsi="仿宋" w:eastAsia="仿宋"/>
          <w:kern w:val="0"/>
          <w:szCs w:val="32"/>
          <w:lang w:val="en-US" w:eastAsia="zh-CN"/>
        </w:rPr>
        <w:t>。</w:t>
      </w:r>
    </w:p>
    <w:p w14:paraId="548793D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40</w:t>
      </w:r>
      <w:r>
        <w:rPr>
          <w:rFonts w:hint="eastAsia" w:ascii="仿宋" w:hAnsi="仿宋" w:eastAsia="仿宋"/>
          <w:kern w:val="0"/>
          <w:szCs w:val="32"/>
        </w:rPr>
        <w:t>人，编制数</w:t>
      </w:r>
      <w:r>
        <w:rPr>
          <w:rFonts w:hint="eastAsia" w:ascii="仿宋" w:hAnsi="仿宋" w:eastAsia="仿宋"/>
          <w:kern w:val="0"/>
          <w:szCs w:val="32"/>
          <w:lang w:val="en-US" w:eastAsia="zh-CN"/>
        </w:rPr>
        <w:t>42</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0BBD4FF4">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53D2C6B">
      <w:pPr>
        <w:ind w:firstLine="2560" w:firstLineChars="8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color w:val="auto"/>
          <w:sz w:val="32"/>
          <w:szCs w:val="32"/>
        </w:rPr>
      </w:pPr>
      <w:r>
        <w:rPr>
          <w:rFonts w:hint="eastAsia" w:ascii="仿宋" w:hAnsi="仿宋" w:eastAsia="仿宋"/>
          <w:color w:val="auto"/>
          <w:sz w:val="32"/>
          <w:szCs w:val="32"/>
        </w:rPr>
        <w:t>按照综合预算的原则，所有收入和支出全部纳入部门预算管理。收入包括：一般公共预算拨款收入、政府性基金预算拨款收入、其他收入等；支出包括：社会保障和就业支出、卫生健康支出、住房保障支出。202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 xml:space="preserve">年收支总预算 </w:t>
      </w:r>
      <w:r>
        <w:rPr>
          <w:rFonts w:hint="eastAsia" w:ascii="仿宋" w:hAnsi="仿宋" w:eastAsia="仿宋"/>
          <w:color w:val="auto"/>
          <w:sz w:val="32"/>
          <w:szCs w:val="32"/>
          <w:lang w:val="en-US" w:eastAsia="zh-CN"/>
        </w:rPr>
        <w:t>467.54</w:t>
      </w:r>
      <w:r>
        <w:rPr>
          <w:rFonts w:hint="eastAsia" w:ascii="仿宋" w:hAnsi="仿宋" w:eastAsia="仿宋"/>
          <w:color w:val="auto"/>
          <w:sz w:val="32"/>
          <w:szCs w:val="32"/>
        </w:rPr>
        <w:t>万元，比 202</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年预算数</w:t>
      </w:r>
      <w:r>
        <w:rPr>
          <w:rFonts w:hint="eastAsia" w:ascii="仿宋" w:hAnsi="仿宋" w:eastAsia="仿宋"/>
          <w:color w:val="auto"/>
          <w:sz w:val="32"/>
          <w:szCs w:val="32"/>
          <w:lang w:val="en-US" w:eastAsia="zh-CN"/>
        </w:rPr>
        <w:t>413.74</w:t>
      </w:r>
      <w:r>
        <w:rPr>
          <w:rFonts w:hint="eastAsia" w:ascii="仿宋" w:hAnsi="仿宋" w:eastAsia="仿宋"/>
          <w:color w:val="auto"/>
          <w:sz w:val="32"/>
          <w:szCs w:val="32"/>
        </w:rPr>
        <w:t>万元增</w:t>
      </w:r>
      <w:r>
        <w:rPr>
          <w:rFonts w:hint="eastAsia" w:ascii="仿宋" w:hAnsi="仿宋" w:eastAsia="仿宋"/>
          <w:color w:val="auto"/>
          <w:sz w:val="32"/>
          <w:szCs w:val="32"/>
          <w:lang w:val="en-US" w:eastAsia="zh-CN"/>
        </w:rPr>
        <w:t>加了53.8</w:t>
      </w:r>
      <w:r>
        <w:rPr>
          <w:rFonts w:hint="eastAsia" w:ascii="仿宋" w:hAnsi="仿宋" w:eastAsia="仿宋"/>
          <w:color w:val="auto"/>
          <w:sz w:val="32"/>
          <w:szCs w:val="32"/>
        </w:rPr>
        <w:t xml:space="preserve"> 万元，主要原因：</w:t>
      </w:r>
      <w:r>
        <w:rPr>
          <w:rFonts w:hint="eastAsia" w:ascii="仿宋" w:hAnsi="仿宋" w:eastAsia="仿宋"/>
          <w:color w:val="auto"/>
          <w:sz w:val="32"/>
          <w:szCs w:val="32"/>
          <w:lang w:val="en-US" w:eastAsia="zh-CN"/>
        </w:rPr>
        <w:t>2024年度新增加事业编人员4人，公共卫生服务费也同比上年增加</w:t>
      </w:r>
      <w:r>
        <w:rPr>
          <w:rFonts w:hint="eastAsia" w:ascii="仿宋" w:hAnsi="仿宋" w:eastAsia="仿宋"/>
          <w:color w:val="auto"/>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467.54</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467.54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467.54</w:t>
      </w:r>
      <w:r>
        <w:rPr>
          <w:rFonts w:hint="eastAsia" w:ascii="仿宋" w:hAnsi="仿宋" w:eastAsia="仿宋"/>
          <w:sz w:val="32"/>
          <w:szCs w:val="32"/>
        </w:rPr>
        <w:t>万元，其中：基本支出</w:t>
      </w:r>
      <w:r>
        <w:rPr>
          <w:rFonts w:hint="eastAsia" w:ascii="仿宋" w:hAnsi="仿宋" w:eastAsia="仿宋"/>
          <w:sz w:val="32"/>
          <w:szCs w:val="32"/>
          <w:lang w:val="en-US" w:eastAsia="zh-CN"/>
        </w:rPr>
        <w:t>393.89</w:t>
      </w:r>
      <w:r>
        <w:rPr>
          <w:rFonts w:hint="eastAsia" w:ascii="仿宋" w:hAnsi="仿宋" w:eastAsia="仿宋"/>
          <w:sz w:val="32"/>
          <w:szCs w:val="32"/>
        </w:rPr>
        <w:t>万元，占</w:t>
      </w:r>
      <w:r>
        <w:rPr>
          <w:rFonts w:hint="eastAsia" w:ascii="仿宋" w:hAnsi="仿宋" w:eastAsia="仿宋"/>
          <w:sz w:val="32"/>
          <w:szCs w:val="32"/>
          <w:lang w:val="en-US" w:eastAsia="zh-CN"/>
        </w:rPr>
        <w:t>84</w:t>
      </w:r>
      <w:r>
        <w:rPr>
          <w:rFonts w:hint="eastAsia" w:ascii="仿宋" w:hAnsi="仿宋" w:eastAsia="仿宋"/>
          <w:sz w:val="32"/>
          <w:szCs w:val="32"/>
        </w:rPr>
        <w:t xml:space="preserve">%；项目支出 </w:t>
      </w:r>
      <w:r>
        <w:rPr>
          <w:rFonts w:hint="eastAsia" w:ascii="仿宋" w:hAnsi="仿宋" w:eastAsia="仿宋"/>
          <w:sz w:val="32"/>
          <w:szCs w:val="32"/>
          <w:lang w:val="en-US" w:eastAsia="zh-CN"/>
        </w:rPr>
        <w:t>73.65</w:t>
      </w:r>
      <w:r>
        <w:rPr>
          <w:rFonts w:hint="eastAsia" w:ascii="仿宋" w:hAnsi="仿宋" w:eastAsia="仿宋"/>
          <w:sz w:val="32"/>
          <w:szCs w:val="32"/>
        </w:rPr>
        <w:t>万元，占</w:t>
      </w:r>
      <w:r>
        <w:rPr>
          <w:rFonts w:hint="eastAsia" w:ascii="仿宋" w:hAnsi="仿宋" w:eastAsia="仿宋"/>
          <w:sz w:val="32"/>
          <w:szCs w:val="32"/>
          <w:lang w:val="en-US" w:eastAsia="zh-CN"/>
        </w:rPr>
        <w:t>16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467.54</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467.54</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467.54</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42.24</w:t>
      </w:r>
      <w:r>
        <w:rPr>
          <w:rFonts w:hint="eastAsia" w:ascii="仿宋" w:hAnsi="仿宋" w:eastAsia="仿宋"/>
          <w:sz w:val="32"/>
          <w:szCs w:val="32"/>
        </w:rPr>
        <w:t>万元，卫生健康支出</w:t>
      </w:r>
      <w:r>
        <w:rPr>
          <w:rFonts w:hint="eastAsia" w:ascii="仿宋" w:hAnsi="仿宋" w:eastAsia="仿宋"/>
          <w:sz w:val="32"/>
          <w:szCs w:val="32"/>
          <w:lang w:val="en-US" w:eastAsia="zh-CN"/>
        </w:rPr>
        <w:t>393.00</w:t>
      </w:r>
      <w:r>
        <w:rPr>
          <w:rFonts w:hint="eastAsia" w:ascii="仿宋" w:hAnsi="仿宋" w:eastAsia="仿宋"/>
          <w:sz w:val="32"/>
          <w:szCs w:val="32"/>
        </w:rPr>
        <w:t>万元，住房保障支出</w:t>
      </w:r>
      <w:r>
        <w:rPr>
          <w:rFonts w:hint="eastAsia" w:ascii="仿宋" w:hAnsi="仿宋" w:eastAsia="仿宋"/>
          <w:sz w:val="32"/>
          <w:szCs w:val="32"/>
          <w:lang w:val="en-US" w:eastAsia="zh-CN"/>
        </w:rPr>
        <w:t>32.30</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467.54</w:t>
      </w:r>
      <w:r>
        <w:rPr>
          <w:rFonts w:hint="eastAsia" w:ascii="仿宋" w:hAnsi="仿宋" w:eastAsia="仿宋"/>
          <w:sz w:val="32"/>
          <w:szCs w:val="32"/>
        </w:rPr>
        <w:t>万元，其中：基本支出</w:t>
      </w:r>
      <w:r>
        <w:rPr>
          <w:rFonts w:hint="eastAsia" w:ascii="仿宋" w:hAnsi="仿宋" w:eastAsia="仿宋"/>
          <w:sz w:val="32"/>
          <w:szCs w:val="32"/>
          <w:lang w:val="en-US" w:eastAsia="zh-CN"/>
        </w:rPr>
        <w:t>393.89</w:t>
      </w:r>
      <w:r>
        <w:rPr>
          <w:rFonts w:hint="eastAsia" w:ascii="仿宋" w:hAnsi="仿宋" w:eastAsia="仿宋"/>
          <w:sz w:val="32"/>
          <w:szCs w:val="32"/>
        </w:rPr>
        <w:t>万元，占</w:t>
      </w:r>
      <w:r>
        <w:rPr>
          <w:rFonts w:hint="eastAsia" w:ascii="仿宋" w:hAnsi="仿宋" w:eastAsia="仿宋"/>
          <w:sz w:val="32"/>
          <w:szCs w:val="32"/>
          <w:lang w:val="en-US" w:eastAsia="zh-CN"/>
        </w:rPr>
        <w:t>84</w:t>
      </w:r>
      <w:r>
        <w:rPr>
          <w:rFonts w:hint="eastAsia" w:ascii="仿宋" w:hAnsi="仿宋" w:eastAsia="仿宋"/>
          <w:sz w:val="32"/>
          <w:szCs w:val="32"/>
        </w:rPr>
        <w:t>%；项目支出</w:t>
      </w:r>
      <w:r>
        <w:rPr>
          <w:rFonts w:hint="eastAsia" w:ascii="仿宋" w:hAnsi="仿宋" w:eastAsia="仿宋"/>
          <w:sz w:val="32"/>
          <w:szCs w:val="32"/>
          <w:lang w:val="en-US" w:eastAsia="zh-CN"/>
        </w:rPr>
        <w:t>73.65</w:t>
      </w:r>
      <w:r>
        <w:rPr>
          <w:rFonts w:hint="eastAsia" w:ascii="仿宋" w:hAnsi="仿宋" w:eastAsia="仿宋"/>
          <w:sz w:val="32"/>
          <w:szCs w:val="32"/>
        </w:rPr>
        <w:t>万元，占</w:t>
      </w:r>
      <w:r>
        <w:rPr>
          <w:rFonts w:hint="eastAsia" w:ascii="仿宋" w:hAnsi="仿宋" w:eastAsia="仿宋"/>
          <w:sz w:val="32"/>
          <w:szCs w:val="32"/>
          <w:lang w:val="en-US" w:eastAsia="zh-CN"/>
        </w:rPr>
        <w:t>16</w:t>
      </w:r>
      <w:r>
        <w:rPr>
          <w:rFonts w:hint="eastAsia" w:ascii="仿宋" w:hAnsi="仿宋" w:eastAsia="仿宋"/>
          <w:sz w:val="32"/>
          <w:szCs w:val="32"/>
        </w:rPr>
        <w:t>%。基本支出中，人员经费</w:t>
      </w:r>
      <w:r>
        <w:rPr>
          <w:rFonts w:hint="eastAsia" w:ascii="仿宋" w:hAnsi="仿宋" w:eastAsia="仿宋"/>
          <w:sz w:val="32"/>
          <w:szCs w:val="32"/>
          <w:lang w:val="en-US" w:eastAsia="zh-CN"/>
        </w:rPr>
        <w:t>387.99</w:t>
      </w:r>
      <w:r>
        <w:rPr>
          <w:rFonts w:hint="eastAsia" w:ascii="仿宋" w:hAnsi="仿宋" w:eastAsia="仿宋"/>
          <w:sz w:val="32"/>
          <w:szCs w:val="32"/>
        </w:rPr>
        <w:t>万元，占</w:t>
      </w:r>
      <w:r>
        <w:rPr>
          <w:rFonts w:hint="eastAsia" w:ascii="仿宋" w:hAnsi="仿宋" w:eastAsia="仿宋"/>
          <w:sz w:val="32"/>
          <w:szCs w:val="32"/>
          <w:lang w:val="en-US" w:eastAsia="zh-CN"/>
        </w:rPr>
        <w:t>99</w:t>
      </w:r>
      <w:r>
        <w:rPr>
          <w:rFonts w:hint="eastAsia" w:ascii="仿宋" w:hAnsi="仿宋" w:eastAsia="仿宋"/>
          <w:sz w:val="32"/>
          <w:szCs w:val="32"/>
        </w:rPr>
        <w:t>%；公用经费</w:t>
      </w:r>
      <w:r>
        <w:rPr>
          <w:rFonts w:hint="eastAsia" w:ascii="仿宋" w:hAnsi="仿宋" w:eastAsia="仿宋"/>
          <w:sz w:val="32"/>
          <w:szCs w:val="32"/>
          <w:lang w:val="en-US" w:eastAsia="zh-CN"/>
        </w:rPr>
        <w:t>5.92</w:t>
      </w:r>
      <w:r>
        <w:rPr>
          <w:rFonts w:hint="eastAsia" w:ascii="仿宋" w:hAnsi="仿宋" w:eastAsia="仿宋"/>
          <w:sz w:val="32"/>
          <w:szCs w:val="32"/>
        </w:rPr>
        <w:t>万元，占</w:t>
      </w:r>
      <w:r>
        <w:rPr>
          <w:rFonts w:hint="eastAsia" w:ascii="仿宋" w:hAnsi="仿宋" w:eastAsia="仿宋"/>
          <w:sz w:val="32"/>
          <w:szCs w:val="32"/>
          <w:lang w:val="en-US" w:eastAsia="zh-CN"/>
        </w:rPr>
        <w:t>1</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42.24</w:t>
      </w:r>
      <w:r>
        <w:rPr>
          <w:rFonts w:hint="eastAsia" w:ascii="仿宋" w:hAnsi="仿宋" w:eastAsia="仿宋"/>
          <w:sz w:val="32"/>
          <w:szCs w:val="32"/>
        </w:rPr>
        <w:t xml:space="preserve"> 万元，占</w:t>
      </w:r>
      <w:r>
        <w:rPr>
          <w:rFonts w:hint="eastAsia" w:ascii="仿宋" w:hAnsi="仿宋" w:eastAsia="仿宋"/>
          <w:sz w:val="32"/>
          <w:szCs w:val="32"/>
          <w:lang w:val="en-US" w:eastAsia="zh-CN"/>
        </w:rPr>
        <w:t>9</w:t>
      </w:r>
      <w:r>
        <w:rPr>
          <w:rFonts w:hint="eastAsia" w:ascii="仿宋" w:hAnsi="仿宋" w:eastAsia="仿宋"/>
          <w:sz w:val="32"/>
          <w:szCs w:val="32"/>
        </w:rPr>
        <w:t>%，主要用于：</w:t>
      </w:r>
      <w:r>
        <w:rPr>
          <w:rFonts w:hint="eastAsia" w:ascii="仿宋" w:hAnsi="仿宋" w:eastAsia="仿宋"/>
          <w:sz w:val="32"/>
          <w:szCs w:val="32"/>
          <w:lang w:val="en-US" w:eastAsia="zh-CN"/>
        </w:rPr>
        <w:t>在职职工养老保险缴费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393.00</w:t>
      </w:r>
      <w:r>
        <w:rPr>
          <w:rFonts w:hint="eastAsia" w:ascii="仿宋" w:hAnsi="仿宋" w:eastAsia="仿宋"/>
          <w:sz w:val="32"/>
          <w:szCs w:val="32"/>
        </w:rPr>
        <w:t xml:space="preserve"> 万元，占</w:t>
      </w:r>
      <w:r>
        <w:rPr>
          <w:rFonts w:hint="eastAsia" w:ascii="仿宋" w:hAnsi="仿宋" w:eastAsia="仿宋"/>
          <w:sz w:val="32"/>
          <w:szCs w:val="32"/>
          <w:lang w:val="en-US" w:eastAsia="zh-CN"/>
        </w:rPr>
        <w:t>84</w:t>
      </w:r>
      <w:r>
        <w:rPr>
          <w:rFonts w:hint="eastAsia" w:ascii="仿宋" w:hAnsi="仿宋" w:eastAsia="仿宋"/>
          <w:sz w:val="32"/>
          <w:szCs w:val="32"/>
        </w:rPr>
        <w:t>%，主要用于：</w:t>
      </w:r>
      <w:r>
        <w:rPr>
          <w:rFonts w:hint="eastAsia" w:ascii="仿宋" w:hAnsi="仿宋" w:eastAsia="仿宋"/>
          <w:sz w:val="32"/>
          <w:szCs w:val="32"/>
          <w:lang w:val="en-US" w:eastAsia="zh-CN"/>
        </w:rPr>
        <w:t>用于职工工资福利支出、生活补助、工会经费支出</w:t>
      </w:r>
      <w:r>
        <w:rPr>
          <w:rFonts w:hint="eastAsia" w:ascii="仿宋" w:hAnsi="仿宋" w:eastAsia="仿宋"/>
          <w:sz w:val="32"/>
          <w:szCs w:val="32"/>
        </w:rPr>
        <w:t>。</w:t>
      </w:r>
    </w:p>
    <w:p w14:paraId="50DC8A0F">
      <w:pPr>
        <w:ind w:firstLine="640" w:firstLineChars="200"/>
        <w:rPr>
          <w:rFonts w:hint="eastAsia" w:ascii="仿宋" w:hAnsi="仿宋" w:eastAsia="仿宋"/>
          <w:sz w:val="32"/>
          <w:szCs w:val="32"/>
          <w:lang w:val="en-US" w:eastAsia="zh-CN"/>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32.30</w:t>
      </w:r>
      <w:r>
        <w:rPr>
          <w:rFonts w:hint="eastAsia" w:ascii="仿宋" w:hAnsi="仿宋" w:eastAsia="仿宋"/>
          <w:sz w:val="32"/>
          <w:szCs w:val="32"/>
        </w:rPr>
        <w:t xml:space="preserve"> 万元，占</w:t>
      </w:r>
      <w:r>
        <w:rPr>
          <w:rFonts w:hint="eastAsia" w:ascii="仿宋" w:hAnsi="仿宋" w:eastAsia="仿宋"/>
          <w:sz w:val="32"/>
          <w:szCs w:val="32"/>
          <w:lang w:val="en-US" w:eastAsia="zh-CN"/>
        </w:rPr>
        <w:t>7</w:t>
      </w:r>
      <w:r>
        <w:rPr>
          <w:rFonts w:hint="eastAsia" w:ascii="仿宋" w:hAnsi="仿宋" w:eastAsia="仿宋"/>
          <w:sz w:val="32"/>
          <w:szCs w:val="32"/>
        </w:rPr>
        <w:t>%，主要用于：</w:t>
      </w:r>
      <w:r>
        <w:rPr>
          <w:rFonts w:hint="eastAsia" w:ascii="仿宋" w:hAnsi="仿宋" w:eastAsia="仿宋"/>
          <w:sz w:val="32"/>
          <w:szCs w:val="32"/>
          <w:lang w:val="en-US" w:eastAsia="zh-CN"/>
        </w:rPr>
        <w:t>职工住房公积金缴费支出。</w:t>
      </w:r>
    </w:p>
    <w:p w14:paraId="1D655B29">
      <w:pPr>
        <w:ind w:firstLine="640" w:firstLineChars="200"/>
        <w:rPr>
          <w:rFonts w:ascii="楷体" w:hAnsi="楷体" w:eastAsia="楷体"/>
          <w:kern w:val="0"/>
          <w:sz w:val="32"/>
          <w:szCs w:val="32"/>
        </w:rPr>
      </w:pP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393.89</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387.99</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w:t>
      </w:r>
      <w:r>
        <w:rPr>
          <w:rFonts w:hint="eastAsia" w:ascii="仿宋" w:hAnsi="仿宋" w:eastAsia="仿宋"/>
          <w:sz w:val="32"/>
          <w:szCs w:val="32"/>
          <w:lang w:val="en-US" w:eastAsia="zh-CN"/>
        </w:rPr>
        <w:t>奖励金</w:t>
      </w:r>
      <w:r>
        <w:rPr>
          <w:rFonts w:hint="eastAsia" w:ascii="仿宋" w:hAnsi="仿宋" w:eastAsia="仿宋"/>
          <w:sz w:val="32"/>
          <w:szCs w:val="32"/>
        </w:rPr>
        <w:t>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5.92</w:t>
      </w:r>
      <w:r>
        <w:rPr>
          <w:rFonts w:hint="eastAsia" w:ascii="仿宋" w:hAnsi="仿宋" w:eastAsia="仿宋"/>
          <w:sz w:val="32"/>
          <w:szCs w:val="32"/>
        </w:rPr>
        <w:t>万元，</w:t>
      </w:r>
      <w:r>
        <w:rPr>
          <w:rFonts w:hint="eastAsia" w:ascii="仿宋" w:hAnsi="仿宋" w:eastAsia="仿宋"/>
          <w:sz w:val="32"/>
          <w:szCs w:val="32"/>
          <w:lang w:val="en-US" w:eastAsia="zh-CN"/>
        </w:rPr>
        <w:t>主要包括：</w:t>
      </w:r>
      <w:r>
        <w:rPr>
          <w:rFonts w:hint="eastAsia" w:ascii="仿宋" w:hAnsi="仿宋" w:eastAsia="仿宋"/>
          <w:sz w:val="32"/>
          <w:szCs w:val="32"/>
        </w:rPr>
        <w:t>工会经费。</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w:t>
      </w:r>
      <w:r>
        <w:rPr>
          <w:rFonts w:hint="eastAsia" w:ascii="仿宋" w:hAnsi="仿宋" w:eastAsia="仿宋"/>
          <w:kern w:val="0"/>
          <w:sz w:val="32"/>
          <w:szCs w:val="32"/>
          <w:lang w:val="en-US" w:eastAsia="zh-CN"/>
        </w:rPr>
        <w:t>我单位无</w:t>
      </w:r>
      <w:r>
        <w:rPr>
          <w:rFonts w:hint="eastAsia" w:ascii="仿宋" w:hAnsi="仿宋" w:eastAsia="仿宋"/>
          <w:kern w:val="0"/>
          <w:sz w:val="32"/>
          <w:szCs w:val="32"/>
        </w:rPr>
        <w:t>“三公”经费预算数</w:t>
      </w:r>
      <w:r>
        <w:rPr>
          <w:rFonts w:hint="eastAsia" w:ascii="仿宋" w:hAnsi="仿宋" w:eastAsia="仿宋"/>
          <w:kern w:val="0"/>
          <w:sz w:val="32"/>
          <w:szCs w:val="32"/>
          <w:lang w:val="en-US" w:eastAsia="zh-CN"/>
        </w:rPr>
        <w:t>安排。</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w:t>
      </w:r>
      <w:r>
        <w:rPr>
          <w:rFonts w:hint="eastAsia" w:ascii="仿宋" w:hAnsi="仿宋" w:eastAsia="仿宋"/>
          <w:sz w:val="32"/>
          <w:szCs w:val="32"/>
          <w:lang w:val="en-US" w:eastAsia="zh-CN"/>
        </w:rPr>
        <w:t>无</w:t>
      </w:r>
      <w:r>
        <w:rPr>
          <w:rFonts w:hint="eastAsia" w:ascii="仿宋" w:hAnsi="仿宋" w:eastAsia="仿宋"/>
          <w:sz w:val="32"/>
          <w:szCs w:val="32"/>
        </w:rPr>
        <w:t>政府性基金支出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F503B92">
      <w:pPr>
        <w:pStyle w:val="8"/>
        <w:ind w:firstLine="960" w:firstLineChars="3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本单位无机关运行费预算支出。</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无政府采购项目。</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5D75AF86">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 xml:space="preserve">辆，其中价值200万元以上大型设备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6056F6DB">
      <w:pPr>
        <w:ind w:firstLine="640"/>
        <w:jc w:val="left"/>
        <w:rPr>
          <w:rFonts w:hint="eastAsia" w:ascii="仿宋" w:hAnsi="仿宋" w:eastAsia="仿宋"/>
          <w:sz w:val="32"/>
          <w:szCs w:val="32"/>
        </w:rPr>
      </w:pPr>
      <w:r>
        <w:rPr>
          <w:rFonts w:hint="eastAsia" w:ascii="仿宋" w:hAnsi="仿宋" w:eastAsia="仿宋"/>
          <w:sz w:val="32"/>
          <w:szCs w:val="32"/>
        </w:rPr>
        <w:t>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73.65</w:t>
      </w:r>
      <w:r>
        <w:rPr>
          <w:rFonts w:hint="eastAsia" w:ascii="仿宋" w:hAnsi="仿宋" w:eastAsia="仿宋"/>
          <w:sz w:val="32"/>
          <w:szCs w:val="32"/>
        </w:rPr>
        <w:t>万元。</w:t>
      </w:r>
    </w:p>
    <w:p w14:paraId="48E16C43">
      <w:pPr>
        <w:ind w:firstLine="640"/>
        <w:jc w:val="left"/>
        <w:rPr>
          <w:rFonts w:hint="eastAsia" w:ascii="仿宋" w:hAnsi="仿宋" w:eastAsia="仿宋"/>
          <w:sz w:val="32"/>
          <w:szCs w:val="32"/>
        </w:rPr>
      </w:pPr>
    </w:p>
    <w:p w14:paraId="64B3A8B7">
      <w:pPr>
        <w:ind w:firstLine="640"/>
        <w:jc w:val="left"/>
        <w:rPr>
          <w:rFonts w:hint="eastAsia" w:ascii="仿宋" w:hAnsi="仿宋" w:eastAsia="仿宋"/>
          <w:sz w:val="32"/>
          <w:szCs w:val="32"/>
        </w:rPr>
      </w:pPr>
    </w:p>
    <w:p w14:paraId="14CCB134">
      <w:pPr>
        <w:ind w:firstLine="640"/>
        <w:jc w:val="left"/>
        <w:rPr>
          <w:rFonts w:hint="eastAsia" w:ascii="仿宋" w:hAnsi="仿宋" w:eastAsia="仿宋"/>
          <w:sz w:val="32"/>
          <w:szCs w:val="32"/>
        </w:rPr>
      </w:pPr>
    </w:p>
    <w:p w14:paraId="45C1EFEB">
      <w:pPr>
        <w:ind w:firstLine="640"/>
        <w:jc w:val="left"/>
        <w:rPr>
          <w:rFonts w:hint="eastAsia" w:ascii="仿宋" w:hAnsi="仿宋" w:eastAsia="仿宋"/>
          <w:sz w:val="32"/>
          <w:szCs w:val="32"/>
        </w:rPr>
      </w:pPr>
    </w:p>
    <w:p w14:paraId="721E6A63">
      <w:pPr>
        <w:ind w:firstLine="640"/>
        <w:jc w:val="left"/>
        <w:rPr>
          <w:rFonts w:hint="eastAsia" w:ascii="仿宋" w:hAnsi="仿宋" w:eastAsia="仿宋"/>
          <w:sz w:val="32"/>
          <w:szCs w:val="32"/>
        </w:rPr>
      </w:pPr>
    </w:p>
    <w:p w14:paraId="7572B21D">
      <w:pPr>
        <w:ind w:firstLine="640"/>
        <w:jc w:val="left"/>
        <w:rPr>
          <w:rFonts w:hint="eastAsia" w:ascii="仿宋" w:hAnsi="仿宋" w:eastAsia="仿宋"/>
          <w:sz w:val="32"/>
          <w:szCs w:val="32"/>
        </w:rPr>
      </w:pPr>
    </w:p>
    <w:p w14:paraId="430C39D8">
      <w:pPr>
        <w:ind w:firstLine="640"/>
        <w:jc w:val="left"/>
        <w:rPr>
          <w:rFonts w:hint="eastAsia" w:ascii="仿宋" w:hAnsi="仿宋" w:eastAsia="仿宋"/>
          <w:sz w:val="32"/>
          <w:szCs w:val="32"/>
        </w:rPr>
      </w:pPr>
    </w:p>
    <w:p w14:paraId="5FF20714">
      <w:pPr>
        <w:ind w:firstLine="640"/>
        <w:jc w:val="left"/>
        <w:rPr>
          <w:rFonts w:hint="eastAsia"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hint="eastAsia" w:ascii="仿宋" w:hAnsi="仿宋" w:eastAsia="仿宋"/>
          <w:sz w:val="32"/>
          <w:szCs w:val="32"/>
        </w:rPr>
      </w:pPr>
      <w:r>
        <w:rPr>
          <w:rFonts w:hint="eastAsia" w:ascii="仿宋" w:hAnsi="仿宋" w:eastAsia="仿宋"/>
          <w:sz w:val="32"/>
          <w:szCs w:val="32"/>
        </w:rPr>
        <w:t xml:space="preserve"> </w:t>
      </w:r>
    </w:p>
    <w:p w14:paraId="0CF13EA0">
      <w:pPr>
        <w:jc w:val="left"/>
        <w:rPr>
          <w:rFonts w:hint="eastAsia" w:ascii="仿宋" w:hAnsi="仿宋" w:eastAsia="仿宋"/>
          <w:sz w:val="32"/>
          <w:szCs w:val="32"/>
        </w:rPr>
      </w:pPr>
    </w:p>
    <w:p w14:paraId="31698842">
      <w:pPr>
        <w:jc w:val="left"/>
        <w:rPr>
          <w:rFonts w:hint="eastAsia" w:ascii="仿宋" w:hAnsi="仿宋" w:eastAsia="仿宋"/>
          <w:sz w:val="32"/>
          <w:szCs w:val="32"/>
        </w:rPr>
      </w:pPr>
    </w:p>
    <w:p w14:paraId="48441452">
      <w:pPr>
        <w:jc w:val="left"/>
        <w:rPr>
          <w:rFonts w:hint="eastAsia" w:ascii="仿宋" w:hAnsi="仿宋" w:eastAsia="仿宋"/>
          <w:sz w:val="32"/>
          <w:szCs w:val="32"/>
        </w:rPr>
      </w:pPr>
    </w:p>
    <w:p w14:paraId="493765FA">
      <w:pPr>
        <w:jc w:val="left"/>
        <w:rPr>
          <w:rFonts w:hint="eastAsia"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b/>
          <w:bCs/>
          <w:sz w:val="32"/>
          <w:szCs w:val="32"/>
        </w:rPr>
      </w:pPr>
      <w:bookmarkStart w:id="0" w:name="_GoBack"/>
      <w:r>
        <w:rPr>
          <w:rFonts w:hint="eastAsia" w:ascii="仿宋" w:hAnsi="仿宋" w:eastAsia="仿宋"/>
          <w:b/>
          <w:bCs/>
          <w:sz w:val="32"/>
          <w:szCs w:val="32"/>
        </w:rPr>
        <w:t>第四部分  预算表格</w:t>
      </w:r>
    </w:p>
    <w:bookmarkEnd w:id="0"/>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0522265">
      <w:pPr>
        <w:jc w:val="left"/>
        <w:rPr>
          <w:rFonts w:ascii="仿宋" w:hAnsi="仿宋" w:eastAsia="仿宋"/>
          <w:sz w:val="32"/>
          <w:szCs w:val="32"/>
        </w:rPr>
      </w:pPr>
    </w:p>
    <w:p w14:paraId="00E3AD42">
      <w:pPr>
        <w:jc w:val="left"/>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1191B"/>
    <w:rsid w:val="00F30AB2"/>
    <w:rsid w:val="00F51569"/>
    <w:rsid w:val="00FD1DC5"/>
    <w:rsid w:val="00FF36E7"/>
    <w:rsid w:val="01640BD1"/>
    <w:rsid w:val="017442FA"/>
    <w:rsid w:val="018E6F43"/>
    <w:rsid w:val="01EC1B1D"/>
    <w:rsid w:val="034968DF"/>
    <w:rsid w:val="03D7309C"/>
    <w:rsid w:val="03F014FB"/>
    <w:rsid w:val="03F248D4"/>
    <w:rsid w:val="05AE6735"/>
    <w:rsid w:val="065344DE"/>
    <w:rsid w:val="06677F89"/>
    <w:rsid w:val="07A64AE1"/>
    <w:rsid w:val="07C71E05"/>
    <w:rsid w:val="07C75183"/>
    <w:rsid w:val="097529BD"/>
    <w:rsid w:val="0A450E4E"/>
    <w:rsid w:val="0A560A40"/>
    <w:rsid w:val="0A7F599D"/>
    <w:rsid w:val="0B4115AF"/>
    <w:rsid w:val="0C633590"/>
    <w:rsid w:val="0C7C5D37"/>
    <w:rsid w:val="0D0F40E1"/>
    <w:rsid w:val="0E0E4A27"/>
    <w:rsid w:val="0E235FAD"/>
    <w:rsid w:val="0E933B6E"/>
    <w:rsid w:val="0EF12AE6"/>
    <w:rsid w:val="0F4B669A"/>
    <w:rsid w:val="0F4C4086"/>
    <w:rsid w:val="10D9450A"/>
    <w:rsid w:val="112B3A0C"/>
    <w:rsid w:val="117169F8"/>
    <w:rsid w:val="11DF6BD5"/>
    <w:rsid w:val="12955E7E"/>
    <w:rsid w:val="12C62CA4"/>
    <w:rsid w:val="12D0134B"/>
    <w:rsid w:val="13825809"/>
    <w:rsid w:val="13985B17"/>
    <w:rsid w:val="141D612B"/>
    <w:rsid w:val="149A777C"/>
    <w:rsid w:val="15064E11"/>
    <w:rsid w:val="159B7C4F"/>
    <w:rsid w:val="15DA5399"/>
    <w:rsid w:val="187E3884"/>
    <w:rsid w:val="18F97B94"/>
    <w:rsid w:val="191A0446"/>
    <w:rsid w:val="19314B52"/>
    <w:rsid w:val="1A361C01"/>
    <w:rsid w:val="1B1262BE"/>
    <w:rsid w:val="1B4A363A"/>
    <w:rsid w:val="1BC526EF"/>
    <w:rsid w:val="1C2C2578"/>
    <w:rsid w:val="1C882350"/>
    <w:rsid w:val="1CA613B3"/>
    <w:rsid w:val="1CD51C99"/>
    <w:rsid w:val="1CDC1A5B"/>
    <w:rsid w:val="1DC83A2D"/>
    <w:rsid w:val="1F451F7A"/>
    <w:rsid w:val="1FD224BF"/>
    <w:rsid w:val="20EF71F1"/>
    <w:rsid w:val="2174434B"/>
    <w:rsid w:val="2197569C"/>
    <w:rsid w:val="21FE2E7E"/>
    <w:rsid w:val="223E5BEA"/>
    <w:rsid w:val="2323212D"/>
    <w:rsid w:val="23737B15"/>
    <w:rsid w:val="23FA4ECF"/>
    <w:rsid w:val="24523BCF"/>
    <w:rsid w:val="2527010D"/>
    <w:rsid w:val="25643BBA"/>
    <w:rsid w:val="26DC2BFA"/>
    <w:rsid w:val="27063D31"/>
    <w:rsid w:val="27742DDB"/>
    <w:rsid w:val="27747EDE"/>
    <w:rsid w:val="277B13CF"/>
    <w:rsid w:val="281C077C"/>
    <w:rsid w:val="285B5D80"/>
    <w:rsid w:val="28753BF0"/>
    <w:rsid w:val="287B7B98"/>
    <w:rsid w:val="28AA47B7"/>
    <w:rsid w:val="28CB641B"/>
    <w:rsid w:val="28D70B46"/>
    <w:rsid w:val="29207EE3"/>
    <w:rsid w:val="2AC46EA9"/>
    <w:rsid w:val="2AC832F5"/>
    <w:rsid w:val="2B0D6AA1"/>
    <w:rsid w:val="2C820DC9"/>
    <w:rsid w:val="2CD5539D"/>
    <w:rsid w:val="2D742D12"/>
    <w:rsid w:val="2E3342C6"/>
    <w:rsid w:val="2E786928"/>
    <w:rsid w:val="2F875074"/>
    <w:rsid w:val="2F8F6204"/>
    <w:rsid w:val="30134B5A"/>
    <w:rsid w:val="3172765E"/>
    <w:rsid w:val="336773E5"/>
    <w:rsid w:val="344D4C9B"/>
    <w:rsid w:val="36273D08"/>
    <w:rsid w:val="368F70D3"/>
    <w:rsid w:val="36F40B16"/>
    <w:rsid w:val="37361A0B"/>
    <w:rsid w:val="373F7FE3"/>
    <w:rsid w:val="374B6987"/>
    <w:rsid w:val="379C71E3"/>
    <w:rsid w:val="38253B59"/>
    <w:rsid w:val="385B501F"/>
    <w:rsid w:val="38657F1D"/>
    <w:rsid w:val="38DE30B8"/>
    <w:rsid w:val="38F1355F"/>
    <w:rsid w:val="39284901"/>
    <w:rsid w:val="39AB5825"/>
    <w:rsid w:val="3A0948D8"/>
    <w:rsid w:val="3A482539"/>
    <w:rsid w:val="3A4A20D5"/>
    <w:rsid w:val="3A915046"/>
    <w:rsid w:val="3B256B02"/>
    <w:rsid w:val="3C4C15D1"/>
    <w:rsid w:val="3CE440CF"/>
    <w:rsid w:val="3CEA5A8A"/>
    <w:rsid w:val="3D897F97"/>
    <w:rsid w:val="3DA7578C"/>
    <w:rsid w:val="3E6B5B61"/>
    <w:rsid w:val="3F597259"/>
    <w:rsid w:val="3F6B774D"/>
    <w:rsid w:val="40095632"/>
    <w:rsid w:val="42CE66BF"/>
    <w:rsid w:val="430260DD"/>
    <w:rsid w:val="439E2535"/>
    <w:rsid w:val="43D663C4"/>
    <w:rsid w:val="442476FC"/>
    <w:rsid w:val="452059D0"/>
    <w:rsid w:val="46345885"/>
    <w:rsid w:val="46B15537"/>
    <w:rsid w:val="46C17DAD"/>
    <w:rsid w:val="46F64D5D"/>
    <w:rsid w:val="486C2C02"/>
    <w:rsid w:val="49B81F53"/>
    <w:rsid w:val="4AAC7860"/>
    <w:rsid w:val="4BED5E07"/>
    <w:rsid w:val="4CDB40F9"/>
    <w:rsid w:val="4D0265B8"/>
    <w:rsid w:val="4D8021B9"/>
    <w:rsid w:val="4DFF6777"/>
    <w:rsid w:val="4EB752BA"/>
    <w:rsid w:val="4ED6365B"/>
    <w:rsid w:val="4F5913F8"/>
    <w:rsid w:val="4F735000"/>
    <w:rsid w:val="4FA24151"/>
    <w:rsid w:val="50041643"/>
    <w:rsid w:val="50F75E7E"/>
    <w:rsid w:val="51112DBE"/>
    <w:rsid w:val="51436F0F"/>
    <w:rsid w:val="51BB428B"/>
    <w:rsid w:val="52DF1D28"/>
    <w:rsid w:val="53373E0C"/>
    <w:rsid w:val="53894668"/>
    <w:rsid w:val="53A4083B"/>
    <w:rsid w:val="54923E8D"/>
    <w:rsid w:val="54941844"/>
    <w:rsid w:val="5538455E"/>
    <w:rsid w:val="55B17EA6"/>
    <w:rsid w:val="56064695"/>
    <w:rsid w:val="5613290E"/>
    <w:rsid w:val="566F21D7"/>
    <w:rsid w:val="567F658B"/>
    <w:rsid w:val="56A94595"/>
    <w:rsid w:val="57315742"/>
    <w:rsid w:val="580A299B"/>
    <w:rsid w:val="583848AE"/>
    <w:rsid w:val="59D6612D"/>
    <w:rsid w:val="59FB5B93"/>
    <w:rsid w:val="5A0233C6"/>
    <w:rsid w:val="5B5D76B7"/>
    <w:rsid w:val="5B8E44C5"/>
    <w:rsid w:val="5C166CB5"/>
    <w:rsid w:val="5C982767"/>
    <w:rsid w:val="5CD80EBE"/>
    <w:rsid w:val="5CFA751D"/>
    <w:rsid w:val="5D177188"/>
    <w:rsid w:val="5D580A8A"/>
    <w:rsid w:val="5D6A3A99"/>
    <w:rsid w:val="5D8A5BAC"/>
    <w:rsid w:val="5DB8541C"/>
    <w:rsid w:val="5E221344"/>
    <w:rsid w:val="5E32788E"/>
    <w:rsid w:val="5E6C7060"/>
    <w:rsid w:val="5E9345EC"/>
    <w:rsid w:val="5EC96260"/>
    <w:rsid w:val="5F0059FA"/>
    <w:rsid w:val="5FB128C2"/>
    <w:rsid w:val="60731B65"/>
    <w:rsid w:val="60795A64"/>
    <w:rsid w:val="60854409"/>
    <w:rsid w:val="60D72763"/>
    <w:rsid w:val="61525EF8"/>
    <w:rsid w:val="615F5A3C"/>
    <w:rsid w:val="62B666A5"/>
    <w:rsid w:val="62E15FE9"/>
    <w:rsid w:val="65255B39"/>
    <w:rsid w:val="659C7B1A"/>
    <w:rsid w:val="65E847CC"/>
    <w:rsid w:val="66303069"/>
    <w:rsid w:val="66435045"/>
    <w:rsid w:val="66BE4212"/>
    <w:rsid w:val="67286561"/>
    <w:rsid w:val="691F508E"/>
    <w:rsid w:val="694A2693"/>
    <w:rsid w:val="6A340295"/>
    <w:rsid w:val="6A5666B8"/>
    <w:rsid w:val="6C626D3D"/>
    <w:rsid w:val="6DC01F1A"/>
    <w:rsid w:val="6DC742B3"/>
    <w:rsid w:val="6DF0400D"/>
    <w:rsid w:val="6DFF1C9E"/>
    <w:rsid w:val="6E4476B1"/>
    <w:rsid w:val="6E5B22F8"/>
    <w:rsid w:val="700E2DC7"/>
    <w:rsid w:val="70EF2762"/>
    <w:rsid w:val="71201EF9"/>
    <w:rsid w:val="714B6FA9"/>
    <w:rsid w:val="716F5053"/>
    <w:rsid w:val="729E55FD"/>
    <w:rsid w:val="73506AF8"/>
    <w:rsid w:val="73A86934"/>
    <w:rsid w:val="73C13552"/>
    <w:rsid w:val="73D62900"/>
    <w:rsid w:val="73FA7C77"/>
    <w:rsid w:val="744F0BEE"/>
    <w:rsid w:val="746E51AC"/>
    <w:rsid w:val="74A55A8E"/>
    <w:rsid w:val="7539654A"/>
    <w:rsid w:val="75836739"/>
    <w:rsid w:val="76C753DE"/>
    <w:rsid w:val="76C775D8"/>
    <w:rsid w:val="77FC6956"/>
    <w:rsid w:val="78034139"/>
    <w:rsid w:val="788F3C1F"/>
    <w:rsid w:val="791B3704"/>
    <w:rsid w:val="792316FC"/>
    <w:rsid w:val="79A67472"/>
    <w:rsid w:val="79F91C98"/>
    <w:rsid w:val="7A64282A"/>
    <w:rsid w:val="7A8D6ADA"/>
    <w:rsid w:val="7AE2097E"/>
    <w:rsid w:val="7B7A2964"/>
    <w:rsid w:val="7BA56A97"/>
    <w:rsid w:val="7D490128"/>
    <w:rsid w:val="7D5D42EC"/>
    <w:rsid w:val="7DB366E4"/>
    <w:rsid w:val="7E350DC4"/>
    <w:rsid w:val="7E3B2C6B"/>
    <w:rsid w:val="7E492DA2"/>
    <w:rsid w:val="7E6E62E2"/>
    <w:rsid w:val="7F4339B5"/>
    <w:rsid w:val="7F690CDA"/>
    <w:rsid w:val="7F7C6003"/>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2302</Words>
  <Characters>2522</Characters>
  <Lines>22</Lines>
  <Paragraphs>6</Paragraphs>
  <TotalTime>0</TotalTime>
  <ScaleCrop>false</ScaleCrop>
  <LinksUpToDate>false</LinksUpToDate>
  <CharactersWithSpaces>2595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2025-04-05T04:18:31Z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