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highlight w:val="none"/>
        </w:rPr>
      </w:pPr>
    </w:p>
    <w:p w14:paraId="0722EA08">
      <w:pPr>
        <w:jc w:val="center"/>
        <w:rPr>
          <w:rFonts w:ascii="黑体" w:hAnsi="黑体" w:eastAsia="黑体"/>
          <w:sz w:val="44"/>
          <w:szCs w:val="44"/>
          <w:highlight w:val="none"/>
        </w:rPr>
      </w:pPr>
    </w:p>
    <w:p w14:paraId="5712AD97">
      <w:pPr>
        <w:jc w:val="center"/>
        <w:rPr>
          <w:rFonts w:ascii="黑体" w:hAnsi="黑体" w:eastAsia="黑体"/>
          <w:sz w:val="44"/>
          <w:szCs w:val="44"/>
          <w:highlight w:val="none"/>
        </w:rPr>
      </w:pPr>
    </w:p>
    <w:p w14:paraId="4DAE025F">
      <w:pPr>
        <w:jc w:val="center"/>
        <w:rPr>
          <w:rFonts w:ascii="黑体" w:hAnsi="黑体" w:eastAsia="黑体"/>
          <w:sz w:val="44"/>
          <w:szCs w:val="44"/>
          <w:highlight w:val="none"/>
        </w:rPr>
      </w:pPr>
    </w:p>
    <w:p w14:paraId="5C6FEE61">
      <w:pPr>
        <w:jc w:val="center"/>
        <w:rPr>
          <w:rFonts w:ascii="黑体" w:hAnsi="黑体" w:eastAsia="黑体"/>
          <w:sz w:val="44"/>
          <w:szCs w:val="44"/>
          <w:highlight w:val="none"/>
        </w:rPr>
      </w:pPr>
    </w:p>
    <w:p w14:paraId="6EC37CC8">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永吉县发展和改革局</w:t>
      </w:r>
    </w:p>
    <w:p w14:paraId="0050A5F4">
      <w:pPr>
        <w:jc w:val="center"/>
        <w:rPr>
          <w:rFonts w:ascii="黑体" w:hAnsi="黑体" w:eastAsia="黑体"/>
          <w:sz w:val="52"/>
          <w:szCs w:val="52"/>
          <w:highlight w:val="none"/>
        </w:rPr>
      </w:pPr>
      <w:r>
        <w:rPr>
          <w:rFonts w:hint="eastAsia" w:ascii="黑体" w:hAnsi="黑体" w:eastAsia="黑体"/>
          <w:sz w:val="52"/>
          <w:szCs w:val="52"/>
          <w:highlight w:val="none"/>
        </w:rPr>
        <w:t>202</w:t>
      </w:r>
      <w:r>
        <w:rPr>
          <w:rFonts w:hint="eastAsia" w:ascii="黑体" w:hAnsi="黑体" w:eastAsia="黑体"/>
          <w:sz w:val="52"/>
          <w:szCs w:val="52"/>
          <w:highlight w:val="none"/>
          <w:lang w:val="en-US" w:eastAsia="zh-CN"/>
        </w:rPr>
        <w:t>5</w:t>
      </w:r>
      <w:r>
        <w:rPr>
          <w:rFonts w:hint="eastAsia" w:ascii="黑体" w:hAnsi="黑体" w:eastAsia="黑体"/>
          <w:sz w:val="52"/>
          <w:szCs w:val="52"/>
          <w:highlight w:val="none"/>
        </w:rPr>
        <w:t>年部门预算</w:t>
      </w:r>
    </w:p>
    <w:p w14:paraId="5C42AB12">
      <w:pPr>
        <w:jc w:val="center"/>
        <w:rPr>
          <w:rFonts w:ascii="黑体" w:hAnsi="黑体" w:eastAsia="黑体"/>
          <w:sz w:val="44"/>
          <w:szCs w:val="44"/>
          <w:highlight w:val="none"/>
        </w:rPr>
      </w:pPr>
    </w:p>
    <w:p w14:paraId="5EF162CE">
      <w:pPr>
        <w:jc w:val="center"/>
        <w:rPr>
          <w:rFonts w:ascii="黑体" w:hAnsi="黑体" w:eastAsia="黑体"/>
          <w:sz w:val="44"/>
          <w:szCs w:val="44"/>
          <w:highlight w:val="none"/>
        </w:rPr>
      </w:pPr>
    </w:p>
    <w:p w14:paraId="6D7738A2">
      <w:pPr>
        <w:jc w:val="center"/>
        <w:rPr>
          <w:rFonts w:ascii="黑体" w:hAnsi="黑体" w:eastAsia="黑体"/>
          <w:sz w:val="44"/>
          <w:szCs w:val="44"/>
          <w:highlight w:val="none"/>
        </w:rPr>
      </w:pPr>
    </w:p>
    <w:p w14:paraId="1997C969">
      <w:pPr>
        <w:jc w:val="center"/>
        <w:rPr>
          <w:rFonts w:ascii="黑体" w:hAnsi="黑体" w:eastAsia="黑体"/>
          <w:sz w:val="44"/>
          <w:szCs w:val="44"/>
          <w:highlight w:val="none"/>
        </w:rPr>
      </w:pPr>
    </w:p>
    <w:p w14:paraId="4F4ABFCB">
      <w:pPr>
        <w:jc w:val="center"/>
        <w:rPr>
          <w:rFonts w:ascii="黑体" w:hAnsi="黑体" w:eastAsia="黑体"/>
          <w:sz w:val="44"/>
          <w:szCs w:val="44"/>
          <w:highlight w:val="none"/>
        </w:rPr>
      </w:pPr>
    </w:p>
    <w:p w14:paraId="6E03DA41">
      <w:pPr>
        <w:jc w:val="center"/>
        <w:rPr>
          <w:rFonts w:ascii="黑体" w:hAnsi="黑体" w:eastAsia="黑体"/>
          <w:sz w:val="44"/>
          <w:szCs w:val="44"/>
          <w:highlight w:val="none"/>
        </w:rPr>
      </w:pPr>
    </w:p>
    <w:p w14:paraId="34D8D65D">
      <w:pPr>
        <w:jc w:val="center"/>
        <w:rPr>
          <w:rFonts w:ascii="黑体" w:hAnsi="黑体" w:eastAsia="黑体"/>
          <w:sz w:val="44"/>
          <w:szCs w:val="44"/>
          <w:highlight w:val="none"/>
        </w:rPr>
      </w:pPr>
    </w:p>
    <w:p w14:paraId="01FD5D38">
      <w:pPr>
        <w:jc w:val="center"/>
        <w:rPr>
          <w:rFonts w:ascii="黑体" w:hAnsi="黑体" w:eastAsia="黑体"/>
          <w:sz w:val="44"/>
          <w:szCs w:val="44"/>
          <w:highlight w:val="none"/>
        </w:rPr>
      </w:pPr>
    </w:p>
    <w:p w14:paraId="380AB34E">
      <w:pPr>
        <w:jc w:val="center"/>
        <w:rPr>
          <w:rFonts w:ascii="黑体" w:hAnsi="黑体" w:eastAsia="黑体"/>
          <w:sz w:val="44"/>
          <w:szCs w:val="44"/>
          <w:highlight w:val="none"/>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highlight w:val="none"/>
        </w:rPr>
      </w:pPr>
    </w:p>
    <w:p w14:paraId="661A2997">
      <w:pPr>
        <w:jc w:val="center"/>
        <w:rPr>
          <w:rFonts w:ascii="黑体" w:hAnsi="黑体" w:eastAsia="黑体"/>
          <w:sz w:val="44"/>
          <w:szCs w:val="44"/>
          <w:highlight w:val="none"/>
        </w:rPr>
      </w:pPr>
    </w:p>
    <w:p w14:paraId="60FA0F16">
      <w:pPr>
        <w:jc w:val="center"/>
        <w:rPr>
          <w:rFonts w:ascii="黑体" w:hAnsi="黑体" w:eastAsia="黑体"/>
          <w:sz w:val="44"/>
          <w:szCs w:val="44"/>
          <w:highlight w:val="none"/>
        </w:rPr>
      </w:pPr>
    </w:p>
    <w:p w14:paraId="74A34429">
      <w:pPr>
        <w:jc w:val="center"/>
        <w:rPr>
          <w:rFonts w:ascii="黑体" w:hAnsi="黑体" w:eastAsia="黑体"/>
          <w:sz w:val="44"/>
          <w:szCs w:val="44"/>
          <w:highlight w:val="none"/>
        </w:rPr>
      </w:pPr>
    </w:p>
    <w:p w14:paraId="18C3CAAE">
      <w:pPr>
        <w:jc w:val="center"/>
        <w:rPr>
          <w:rFonts w:ascii="黑体" w:hAnsi="黑体" w:eastAsia="黑体"/>
          <w:sz w:val="44"/>
          <w:szCs w:val="44"/>
          <w:highlight w:val="none"/>
        </w:rPr>
      </w:pPr>
    </w:p>
    <w:p w14:paraId="406F54B2">
      <w:pPr>
        <w:jc w:val="center"/>
        <w:rPr>
          <w:rFonts w:ascii="黑体" w:hAnsi="黑体" w:eastAsia="黑体"/>
          <w:sz w:val="44"/>
          <w:szCs w:val="44"/>
          <w:highlight w:val="none"/>
        </w:rPr>
      </w:pPr>
      <w:r>
        <w:rPr>
          <w:rFonts w:hint="eastAsia" w:ascii="黑体" w:hAnsi="黑体" w:eastAsia="黑体"/>
          <w:sz w:val="44"/>
          <w:szCs w:val="44"/>
          <w:highlight w:val="none"/>
          <w:lang w:eastAsia="zh-CN"/>
        </w:rPr>
        <w:t>永吉县发展和改革局</w:t>
      </w:r>
      <w:r>
        <w:rPr>
          <w:rFonts w:hint="eastAsia" w:ascii="黑体" w:hAnsi="黑体" w:eastAsia="黑体"/>
          <w:sz w:val="44"/>
          <w:szCs w:val="44"/>
          <w:highlight w:val="none"/>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63B0757E">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3BC81682">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73DDC628">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F6E16B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EE08171">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F11FF8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7BA36606">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7E4B53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收支总表</w:t>
      </w:r>
    </w:p>
    <w:p w14:paraId="257AF4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收入总表</w:t>
      </w:r>
    </w:p>
    <w:p w14:paraId="490A2BE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支出总表</w:t>
      </w:r>
    </w:p>
    <w:p w14:paraId="5F6425A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财政拨款收支总表</w:t>
      </w:r>
    </w:p>
    <w:p w14:paraId="500637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CBA4F0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534C5B2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一般公共预算“三公”经费支出表</w:t>
      </w:r>
    </w:p>
    <w:p w14:paraId="4685FD4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政府性基金预算支出表</w:t>
      </w:r>
    </w:p>
    <w:p w14:paraId="696DB8A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国有资本经营预算支出表</w:t>
      </w:r>
    </w:p>
    <w:p w14:paraId="2C937F0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项目支出表</w:t>
      </w:r>
    </w:p>
    <w:p w14:paraId="3CED8429">
      <w:pPr>
        <w:rPr>
          <w:rFonts w:ascii="仿宋" w:hAnsi="仿宋" w:eastAsia="仿宋"/>
          <w:sz w:val="32"/>
          <w:szCs w:val="32"/>
          <w:highlight w:val="none"/>
        </w:rPr>
      </w:pPr>
    </w:p>
    <w:p w14:paraId="69BD7CEA">
      <w:pPr>
        <w:rPr>
          <w:rFonts w:ascii="仿宋" w:hAnsi="仿宋" w:eastAsia="仿宋"/>
          <w:sz w:val="32"/>
          <w:szCs w:val="32"/>
          <w:highlight w:val="none"/>
        </w:rPr>
      </w:pPr>
    </w:p>
    <w:p w14:paraId="549DAA5E">
      <w:pPr>
        <w:rPr>
          <w:rFonts w:ascii="仿宋" w:hAnsi="仿宋" w:eastAsia="仿宋"/>
          <w:sz w:val="32"/>
          <w:szCs w:val="32"/>
          <w:highlight w:val="none"/>
        </w:rPr>
      </w:pPr>
    </w:p>
    <w:p w14:paraId="4E48F873">
      <w:pPr>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14:paraId="519B9A3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6AD7C00">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2F030B5B">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永吉县发展和改革局</w:t>
      </w:r>
    </w:p>
    <w:p w14:paraId="09235EBC">
      <w:pPr>
        <w:pStyle w:val="10"/>
        <w:widowControl/>
        <w:spacing w:line="620" w:lineRule="exact"/>
        <w:ind w:firstLine="627" w:firstLineChars="196"/>
        <w:contextualSpacing/>
        <w:rPr>
          <w:rFonts w:hint="eastAsia" w:ascii="仿宋" w:hAnsi="仿宋" w:eastAsia="仿宋"/>
          <w:kern w:val="0"/>
          <w:sz w:val="32"/>
          <w:szCs w:val="32"/>
          <w:highlight w:val="none"/>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行政单位</w:t>
      </w:r>
    </w:p>
    <w:p w14:paraId="6DA78F3D">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r>
        <w:rPr>
          <w:rFonts w:hint="eastAsia" w:ascii="仿宋" w:hAnsi="仿宋" w:eastAsia="仿宋"/>
          <w:kern w:val="0"/>
          <w:sz w:val="32"/>
          <w:szCs w:val="32"/>
          <w:highlight w:val="none"/>
        </w:rPr>
        <w:t>县发展和改革局负责贯彻落实党中央关于发展和改革工作的方针政策和决策部署以及省委、市委、县委有关决策部署，把坚持和加强党对发展和改革工作的全面领导落实到履行职责过程中。</w:t>
      </w:r>
    </w:p>
    <w:p w14:paraId="019B5F2E">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kern w:val="0"/>
          <w:sz w:val="32"/>
          <w:szCs w:val="32"/>
          <w:highlight w:val="none"/>
        </w:rPr>
        <w:t>（一）拟订并组织实施全县国民经济和社会发展战略、中长期规划和年度计划，统筹协调经济社会发展，提出全县国民经济发展和优化重大经济结构的目标、政策，提出综合运用各种经济手段和政策的建议，受县政府委托向县人大提交国民经济和社会发展计划的报告。</w:t>
      </w:r>
    </w:p>
    <w:p w14:paraId="4C346E3D">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二）负责监测全县经济和社会发展态势，承担预测预警和信息引导的责任，研究全县经济运行、总量平衡、经济安全和总体产业安全等重要问题并提出经济调节政策建议，负责协调解决经济运行中的重大问题，调节经济运行，负责组织重要物资的紧急调度和交通运输协调。</w:t>
      </w:r>
    </w:p>
    <w:p w14:paraId="54CE955A">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三）承担指导推进和综合协调全县经济体制改革的责任，研究经济体制改革和对外开放的重大问题，组织拟订综合性经济体制改革方案，协调有关专项经济体制改革方案，会同有关部门搞好重要专项经济体制改革之间的衔接。</w:t>
      </w:r>
    </w:p>
    <w:p w14:paraId="635D8DFA">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四）拟订全县固定资产投资总规模和投资结构的调控目标、政策及措施，衔接平衡需要安排国家及省政府投资和涉及重大建设项目的专项规划。按规定权限审批、核准、审核重大建设项目。安排财政性建设资金，指导和监督国外贷款建设资金的使用，指导和监督政策性贷款的使用方向；引导民间资金用于固定资产投资的方向；研究提出利用外资、境外投资的战略和结构优化的目标与政策；安排国家、省、市拨款的建设项目、重大外资项目、境外资源开发类和大额用汇投资项目。</w:t>
      </w:r>
    </w:p>
    <w:p w14:paraId="71944FFE">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五）综合分析区域经济和城镇化发展情况，提出区域经济协调发展规划和城镇化发展战略以及重大政策措施；负责全县区域经济的统筹协调，指导区域经济协作工作。组织拟订区域协调发展及振兴吉林老工业基地的战略、规划和重大政策。</w:t>
      </w:r>
    </w:p>
    <w:p w14:paraId="606F07CE">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六）推进全县经济结构战略性调整。组织拟订综合性产业政策，负责协调第一、二、三产业发展的重大问题并衔接平衡相关发展规划和重大政策，做好与国民经济和社会发展规划、计划的衔接平衡；协调农业和农村经济社会发展的重大问题；会同有关部门拟订服务业发展战略和重大政策，拟订现代物流业发展战略、规划，组织拟订高技术产业发展、产业技术进步的战略、规划和重大政策。</w:t>
      </w:r>
    </w:p>
    <w:p w14:paraId="6DE24604">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七）承担全县重要商品总量平衡和宏观调控的责任，编制重要农产品、工业品和原材料进出口总量计划并监督执行，根据经济运行情况对进出口总量进行调整，执行国家战略物资储备规划，负责组织国家战略物资在我县的收储、运用、轮换和管理，会同有关部门管理国家粮食、棉花和食粮等储备。</w:t>
      </w:r>
    </w:p>
    <w:p w14:paraId="5840FB49">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八）负责全县社会发展与国民经济发展的政策衔接，组织拟订社会发展战略、总体规划和年度计划，参与拟订人口和计划生育、科学技术、教育、文化、卫生、民政等发展政策，推进社会事业建设，研究提出促进就业、调整收入分配、完善社会保障与经济协调发展的政策建议，协调社会事业发展和改革中的重大问题及政策。</w:t>
      </w:r>
    </w:p>
    <w:p w14:paraId="5C490902">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九）推进可持续发展战略，负责全县节能减排的综合协调工作，组织拟订发展循环经济、全社会能源资源节约和综合利用规划及政策措施并协调实施，参与编制生态建设、环境保护规划，协调生产建设、能源资源节约和综合利用的重大问题，综合协调环保产业和清洁生产促进有关工作。</w:t>
      </w:r>
    </w:p>
    <w:p w14:paraId="0A6A8904">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（十）负责商品价格管理；负责农产品价格管理；拟订商品价格改革方案和管理、调控措施并组织实施；对相关行业和企业实行价格政策指导。</w:t>
      </w:r>
    </w:p>
    <w:p w14:paraId="7D28AE40">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十一）监测、预测、分析价格总水平变动情况并提出调控意见，提出运用价格调节资金管理手段和必要的行政手段稳定商品、服务价格以及减少市场价格波动的建议；负责价格调节资金的管理和使用；拟订全县价格改革方案并组织实施；制定、公布地方价格管理目录，拟订涉及宏观调控的部分商品和服务价格政策并组织实施；负责起草价格综合性文件；负责涉税、涉纪检监察案件财物价格认定和涉案财产价格鉴定；负责价格争议调解处理和价格认定复核；指导中介机构的价格评估、鉴证工作。</w:t>
      </w:r>
    </w:p>
    <w:p w14:paraId="42627721">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（十二）负责全县部分行政事业性收费和经营服务性收费项目的管理和收费政策落实，制定颁布收费标准，指导相关部门收费管理工作，并监督实施。</w:t>
      </w:r>
    </w:p>
    <w:p w14:paraId="4FEE0557">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十三）负责全县粮食宏观调控和粮食收购政策落实、粮食统计业务管理、粮食行政许可审批、大米品牌建设、政策性粮食监管工作；粮食市场监管、粮食流通条例执行情况检查、省长责任制考核、粮食财会及基金管理、粮食行业安全监管工作；粮食仓储业务管理、储粮安全管理工作；粮食领域行政执法职责。</w:t>
      </w:r>
    </w:p>
    <w:p w14:paraId="4DFD24E3">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（十四）负责国防、铁路、民营经济、安全生产等相关职能（涉密）</w:t>
      </w:r>
    </w:p>
    <w:p w14:paraId="521A0B6B">
      <w:pPr>
        <w:pStyle w:val="10"/>
        <w:widowControl/>
        <w:spacing w:line="620" w:lineRule="exact"/>
        <w:ind w:firstLine="627" w:firstLineChars="196"/>
        <w:contextualSpacing/>
        <w:rPr>
          <w:rFonts w:hint="eastAsia" w:ascii="仿宋" w:hAnsi="仿宋" w:eastAsia="仿宋"/>
          <w:kern w:val="0"/>
          <w:sz w:val="32"/>
          <w:szCs w:val="32"/>
          <w:highlight w:val="none"/>
        </w:rPr>
      </w:pPr>
      <w:r>
        <w:rPr>
          <w:rFonts w:hint="eastAsia" w:ascii="仿宋" w:hAnsi="仿宋" w:eastAsia="仿宋"/>
          <w:kern w:val="0"/>
          <w:sz w:val="32"/>
          <w:szCs w:val="32"/>
          <w:highlight w:val="none"/>
        </w:rPr>
        <w:t>（十五）承办县委、县政府交办的其他任务。</w:t>
      </w:r>
    </w:p>
    <w:p w14:paraId="6D752CA2">
      <w:pPr>
        <w:pStyle w:val="10"/>
        <w:widowControl/>
        <w:spacing w:line="620" w:lineRule="exact"/>
        <w:ind w:firstLine="320" w:firstLineChars="100"/>
        <w:contextualSpacing/>
        <w:rPr>
          <w:rFonts w:ascii="仿宋" w:hAnsi="仿宋" w:eastAsia="仿宋"/>
          <w:sz w:val="32"/>
          <w:szCs w:val="32"/>
          <w:highlight w:val="none"/>
        </w:rPr>
      </w:pPr>
      <w:r>
        <w:rPr>
          <w:rFonts w:hint="eastAsia" w:ascii="仿宋" w:hAnsi="仿宋" w:eastAsia="仿宋"/>
          <w:sz w:val="32"/>
          <w:szCs w:val="32"/>
          <w:highlight w:val="none"/>
        </w:rPr>
        <w:t>二、机构设置</w:t>
      </w:r>
    </w:p>
    <w:p w14:paraId="7D763970">
      <w:pPr>
        <w:pStyle w:val="12"/>
        <w:ind w:firstLine="627" w:firstLineChars="196"/>
        <w:rPr>
          <w:rFonts w:hint="default" w:ascii="仿宋" w:hAnsi="仿宋" w:eastAsia="仿宋"/>
          <w:kern w:val="0"/>
          <w:szCs w:val="32"/>
          <w:highlight w:val="none"/>
          <w:lang w:val="en-US" w:eastAsia="zh-CN"/>
        </w:rPr>
      </w:pPr>
      <w:r>
        <w:rPr>
          <w:rFonts w:hint="eastAsia" w:ascii="仿宋" w:hAnsi="仿宋" w:eastAsia="仿宋"/>
          <w:kern w:val="0"/>
          <w:szCs w:val="32"/>
          <w:highlight w:val="none"/>
        </w:rPr>
        <w:t>机构设置包括：</w:t>
      </w:r>
      <w:r>
        <w:rPr>
          <w:rFonts w:hint="eastAsia" w:ascii="仿宋_GB2312" w:hAnsi="仿宋_GB2312" w:eastAsia="仿宋_GB2312" w:cs="仿宋_GB2312"/>
          <w:kern w:val="2"/>
          <w:sz w:val="32"/>
          <w:szCs w:val="32"/>
          <w:highlight w:val="none"/>
          <w:lang w:val="en-US" w:eastAsia="zh-CN" w:bidi="ar-SA"/>
        </w:rPr>
        <w:t>国防动员科（综合科）</w:t>
      </w:r>
      <w:r>
        <w:rPr>
          <w:rFonts w:hint="eastAsia" w:ascii="仿宋" w:hAnsi="仿宋" w:eastAsia="仿宋"/>
          <w:kern w:val="0"/>
          <w:szCs w:val="32"/>
          <w:highlight w:val="none"/>
        </w:rPr>
        <w:t>、</w:t>
      </w:r>
      <w:r>
        <w:rPr>
          <w:rFonts w:hint="eastAsia" w:ascii="仿宋_GB2312" w:hAnsi="仿宋_GB2312" w:eastAsia="仿宋_GB2312" w:cs="仿宋_GB2312"/>
          <w:kern w:val="2"/>
          <w:sz w:val="32"/>
          <w:szCs w:val="32"/>
          <w:highlight w:val="none"/>
          <w:lang w:val="en-US" w:eastAsia="zh-CN" w:bidi="ar-SA"/>
        </w:rPr>
        <w:t>发展规划科（民营经济发展科）</w:t>
      </w:r>
      <w:r>
        <w:rPr>
          <w:rFonts w:hint="eastAsia" w:ascii="仿宋" w:hAnsi="仿宋" w:eastAsia="仿宋"/>
          <w:kern w:val="0"/>
          <w:szCs w:val="32"/>
          <w:highlight w:val="none"/>
        </w:rPr>
        <w:t>、</w:t>
      </w:r>
      <w:r>
        <w:rPr>
          <w:rFonts w:hint="eastAsia" w:ascii="仿宋_GB2312" w:hAnsi="仿宋_GB2312" w:eastAsia="仿宋_GB2312" w:cs="仿宋_GB2312"/>
          <w:kern w:val="2"/>
          <w:sz w:val="32"/>
          <w:szCs w:val="32"/>
          <w:highlight w:val="none"/>
          <w:lang w:val="en-US" w:eastAsia="zh-CN" w:bidi="ar-SA"/>
        </w:rPr>
        <w:t>投资科（安全生产监督管理科、行政审批办公室）</w:t>
      </w:r>
      <w:r>
        <w:rPr>
          <w:rFonts w:hint="eastAsia" w:ascii="仿宋" w:hAnsi="仿宋" w:eastAsia="仿宋"/>
          <w:kern w:val="0"/>
          <w:szCs w:val="32"/>
          <w:highlight w:val="none"/>
        </w:rPr>
        <w:t>、</w:t>
      </w:r>
      <w:r>
        <w:rPr>
          <w:rFonts w:hint="eastAsia" w:ascii="仿宋_GB2312" w:hAnsi="仿宋_GB2312" w:eastAsia="仿宋_GB2312" w:cs="仿宋_GB2312"/>
          <w:kern w:val="2"/>
          <w:sz w:val="32"/>
          <w:szCs w:val="32"/>
          <w:highlight w:val="none"/>
          <w:lang w:val="en-US" w:eastAsia="zh-CN" w:bidi="ar-SA"/>
        </w:rPr>
        <w:t>价格管理科</w:t>
      </w:r>
      <w:r>
        <w:rPr>
          <w:rFonts w:hint="eastAsia" w:ascii="仿宋_GB2312" w:hAnsi="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CN" w:bidi="ar-SA"/>
        </w:rPr>
        <w:t>农村经济科</w:t>
      </w:r>
      <w:r>
        <w:rPr>
          <w:rFonts w:hint="eastAsia" w:ascii="仿宋_GB2312" w:hAnsi="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CN" w:bidi="ar-SA"/>
        </w:rPr>
        <w:t>粮食和物资储备科（仓储安全科）</w:t>
      </w:r>
      <w:r>
        <w:rPr>
          <w:rFonts w:hint="eastAsia" w:ascii="仿宋_GB2312" w:hAnsi="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CN" w:bidi="ar-SA"/>
        </w:rPr>
        <w:t>执法督查科</w:t>
      </w:r>
      <w:r>
        <w:rPr>
          <w:rFonts w:hint="eastAsia" w:ascii="仿宋_GB2312" w:hAnsi="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CN" w:bidi="ar-SA"/>
        </w:rPr>
        <w:t>产业发展科</w:t>
      </w:r>
    </w:p>
    <w:p w14:paraId="022FE967">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14</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18</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4</w:t>
      </w:r>
      <w:r>
        <w:rPr>
          <w:rFonts w:hint="eastAsia" w:ascii="仿宋" w:hAnsi="仿宋" w:eastAsia="仿宋"/>
          <w:kern w:val="0"/>
          <w:szCs w:val="32"/>
          <w:highlight w:val="none"/>
        </w:rPr>
        <w:t>个。</w:t>
      </w:r>
    </w:p>
    <w:p w14:paraId="3F194C91">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731B470">
      <w:pPr>
        <w:jc w:val="left"/>
        <w:rPr>
          <w:rFonts w:ascii="仿宋" w:hAnsi="仿宋" w:eastAsia="仿宋"/>
          <w:sz w:val="32"/>
          <w:szCs w:val="32"/>
          <w:highlight w:val="none"/>
        </w:rPr>
      </w:pPr>
    </w:p>
    <w:p w14:paraId="2327A84A">
      <w:pPr>
        <w:jc w:val="left"/>
        <w:rPr>
          <w:rFonts w:ascii="仿宋" w:hAnsi="仿宋" w:eastAsia="仿宋"/>
          <w:sz w:val="32"/>
          <w:szCs w:val="32"/>
          <w:highlight w:val="none"/>
        </w:rPr>
      </w:pPr>
    </w:p>
    <w:p w14:paraId="30EC7C30">
      <w:pPr>
        <w:jc w:val="left"/>
        <w:rPr>
          <w:rFonts w:ascii="仿宋" w:hAnsi="仿宋" w:eastAsia="仿宋"/>
          <w:sz w:val="32"/>
          <w:szCs w:val="32"/>
          <w:highlight w:val="none"/>
        </w:rPr>
      </w:pPr>
    </w:p>
    <w:p w14:paraId="22022DA2">
      <w:pPr>
        <w:jc w:val="left"/>
        <w:rPr>
          <w:rFonts w:ascii="仿宋" w:hAnsi="仿宋" w:eastAsia="仿宋"/>
          <w:sz w:val="32"/>
          <w:szCs w:val="32"/>
          <w:highlight w:val="none"/>
        </w:rPr>
      </w:pPr>
    </w:p>
    <w:p w14:paraId="4494DF1B">
      <w:pPr>
        <w:jc w:val="left"/>
        <w:rPr>
          <w:rFonts w:ascii="仿宋" w:hAnsi="仿宋" w:eastAsia="仿宋"/>
          <w:sz w:val="32"/>
          <w:szCs w:val="32"/>
          <w:highlight w:val="none"/>
        </w:rPr>
      </w:pPr>
    </w:p>
    <w:p w14:paraId="57CB687A">
      <w:pPr>
        <w:jc w:val="left"/>
        <w:rPr>
          <w:rFonts w:ascii="仿宋" w:hAnsi="仿宋" w:eastAsia="仿宋"/>
          <w:sz w:val="32"/>
          <w:szCs w:val="32"/>
          <w:highlight w:val="none"/>
        </w:rPr>
      </w:pPr>
    </w:p>
    <w:p w14:paraId="00B77722">
      <w:pPr>
        <w:jc w:val="left"/>
        <w:rPr>
          <w:rFonts w:ascii="仿宋" w:hAnsi="仿宋" w:eastAsia="仿宋"/>
          <w:sz w:val="32"/>
          <w:szCs w:val="32"/>
          <w:highlight w:val="none"/>
        </w:rPr>
      </w:pPr>
    </w:p>
    <w:p w14:paraId="08C38348">
      <w:pPr>
        <w:jc w:val="center"/>
        <w:rPr>
          <w:rFonts w:hint="eastAsia" w:ascii="黑体" w:hAnsi="黑体" w:eastAsia="黑体"/>
          <w:sz w:val="32"/>
          <w:szCs w:val="32"/>
          <w:highlight w:val="none"/>
        </w:rPr>
      </w:pPr>
    </w:p>
    <w:p w14:paraId="39FF8164">
      <w:pPr>
        <w:jc w:val="center"/>
        <w:rPr>
          <w:rFonts w:hint="eastAsia" w:ascii="黑体" w:hAnsi="黑体" w:eastAsia="黑体"/>
          <w:sz w:val="32"/>
          <w:szCs w:val="32"/>
          <w:highlight w:val="none"/>
        </w:rPr>
      </w:pPr>
    </w:p>
    <w:p w14:paraId="6FBFBB57">
      <w:pPr>
        <w:jc w:val="center"/>
        <w:rPr>
          <w:rFonts w:hint="eastAsia" w:ascii="黑体" w:hAnsi="黑体" w:eastAsia="黑体"/>
          <w:sz w:val="32"/>
          <w:szCs w:val="32"/>
          <w:highlight w:val="none"/>
        </w:rPr>
      </w:pPr>
    </w:p>
    <w:p w14:paraId="61796964">
      <w:pPr>
        <w:jc w:val="center"/>
        <w:rPr>
          <w:rFonts w:hint="eastAsia" w:ascii="黑体" w:hAnsi="黑体" w:eastAsia="黑体"/>
          <w:sz w:val="32"/>
          <w:szCs w:val="32"/>
          <w:highlight w:val="none"/>
        </w:rPr>
      </w:pPr>
    </w:p>
    <w:p w14:paraId="54F9AF5C">
      <w:pPr>
        <w:jc w:val="center"/>
        <w:rPr>
          <w:rFonts w:hint="eastAsia" w:ascii="黑体" w:hAnsi="黑体" w:eastAsia="黑体"/>
          <w:sz w:val="32"/>
          <w:szCs w:val="32"/>
          <w:highlight w:val="none"/>
        </w:rPr>
      </w:pPr>
    </w:p>
    <w:p w14:paraId="3D23544A">
      <w:pPr>
        <w:jc w:val="center"/>
        <w:rPr>
          <w:rFonts w:hint="eastAsia" w:ascii="黑体" w:hAnsi="黑体" w:eastAsia="黑体"/>
          <w:sz w:val="32"/>
          <w:szCs w:val="32"/>
          <w:highlight w:val="none"/>
        </w:rPr>
      </w:pPr>
    </w:p>
    <w:p w14:paraId="36A0C37B">
      <w:pPr>
        <w:jc w:val="center"/>
        <w:rPr>
          <w:rFonts w:hint="eastAsia" w:ascii="黑体" w:hAnsi="黑体" w:eastAsia="黑体"/>
          <w:sz w:val="32"/>
          <w:szCs w:val="32"/>
          <w:highlight w:val="none"/>
        </w:rPr>
      </w:pPr>
    </w:p>
    <w:p w14:paraId="36B43055">
      <w:pPr>
        <w:jc w:val="center"/>
        <w:rPr>
          <w:rFonts w:hint="eastAsia" w:ascii="黑体" w:hAnsi="黑体" w:eastAsia="黑体"/>
          <w:sz w:val="32"/>
          <w:szCs w:val="32"/>
          <w:highlight w:val="none"/>
        </w:rPr>
      </w:pPr>
    </w:p>
    <w:p w14:paraId="653D2C6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A61294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4665F9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790B2477">
      <w:pPr>
        <w:pStyle w:val="11"/>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46235.95</w:t>
      </w:r>
      <w:r>
        <w:rPr>
          <w:rFonts w:hint="eastAsia" w:ascii="仿宋" w:hAnsi="仿宋" w:eastAsia="仿宋"/>
          <w:sz w:val="32"/>
          <w:szCs w:val="32"/>
          <w:highlight w:val="none"/>
        </w:rPr>
        <w:t>万元，比 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 xml:space="preserve">年预算数 </w:t>
      </w:r>
      <w:r>
        <w:rPr>
          <w:rFonts w:hint="eastAsia" w:ascii="仿宋" w:hAnsi="仿宋" w:eastAsia="仿宋"/>
          <w:sz w:val="32"/>
          <w:szCs w:val="32"/>
          <w:highlight w:val="none"/>
          <w:lang w:val="en-US" w:eastAsia="zh-CN"/>
        </w:rPr>
        <w:t>1247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增加</w:t>
      </w:r>
      <w:r>
        <w:rPr>
          <w:rFonts w:hint="eastAsia" w:ascii="仿宋" w:hAnsi="仿宋" w:eastAsia="仿宋"/>
          <w:sz w:val="32"/>
          <w:szCs w:val="32"/>
          <w:highlight w:val="none"/>
          <w:lang w:val="en-US" w:eastAsia="zh-CN"/>
        </w:rPr>
        <w:t>44988.95</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项目支出增加</w:t>
      </w:r>
      <w:r>
        <w:rPr>
          <w:rFonts w:hint="eastAsia" w:ascii="仿宋" w:hAnsi="仿宋" w:eastAsia="仿宋"/>
          <w:sz w:val="32"/>
          <w:szCs w:val="32"/>
          <w:highlight w:val="none"/>
        </w:rPr>
        <w:t xml:space="preserve"> 。</w:t>
      </w:r>
    </w:p>
    <w:p w14:paraId="0594D50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5BB9355F">
      <w:pPr>
        <w:pStyle w:val="11"/>
        <w:ind w:firstLine="640" w:firstLineChars="200"/>
        <w:jc w:val="left"/>
        <w:rPr>
          <w:rFonts w:hint="eastAsia"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23117.98</w:t>
      </w:r>
      <w:r>
        <w:rPr>
          <w:rFonts w:hint="eastAsia" w:ascii="仿宋" w:hAnsi="仿宋" w:eastAsia="仿宋"/>
          <w:sz w:val="32"/>
          <w:szCs w:val="32"/>
          <w:highlight w:val="none"/>
        </w:rPr>
        <w:t>万元，其中：一般公共预算收入</w:t>
      </w:r>
      <w:r>
        <w:rPr>
          <w:rFonts w:hint="eastAsia" w:ascii="仿宋" w:hAnsi="仿宋" w:eastAsia="仿宋"/>
          <w:sz w:val="32"/>
          <w:szCs w:val="32"/>
          <w:highlight w:val="none"/>
          <w:lang w:val="en-US" w:eastAsia="zh-CN"/>
        </w:rPr>
        <w:t>23117.98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 xml:space="preserve">%；政府性基金收入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262A2F8F">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25859D7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23117.98</w:t>
      </w:r>
      <w:r>
        <w:rPr>
          <w:rFonts w:hint="eastAsia" w:ascii="仿宋" w:hAnsi="仿宋" w:eastAsia="仿宋"/>
          <w:sz w:val="32"/>
          <w:szCs w:val="32"/>
          <w:highlight w:val="none"/>
        </w:rPr>
        <w:t>万元，其中：基本支出</w:t>
      </w:r>
      <w:r>
        <w:rPr>
          <w:rFonts w:hint="eastAsia" w:ascii="仿宋" w:hAnsi="仿宋" w:eastAsia="仿宋"/>
          <w:sz w:val="32"/>
          <w:szCs w:val="32"/>
          <w:highlight w:val="none"/>
          <w:lang w:val="en-US" w:eastAsia="zh-CN"/>
        </w:rPr>
        <w:t>212.61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0.92</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22905.37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99.08</w:t>
      </w:r>
      <w:r>
        <w:rPr>
          <w:rFonts w:hint="eastAsia" w:ascii="仿宋" w:hAnsi="仿宋" w:eastAsia="仿宋"/>
          <w:sz w:val="32"/>
          <w:szCs w:val="32"/>
          <w:highlight w:val="none"/>
        </w:rPr>
        <w:t>%。</w:t>
      </w:r>
    </w:p>
    <w:p w14:paraId="51040F2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四、202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年财政拨款收支预算情况</w:t>
      </w:r>
    </w:p>
    <w:p w14:paraId="032F5B2D">
      <w:pPr>
        <w:pStyle w:val="11"/>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年财政拨款收支总预算</w:t>
      </w:r>
      <w:r>
        <w:rPr>
          <w:rFonts w:hint="eastAsia" w:ascii="仿宋" w:hAnsi="仿宋" w:eastAsia="仿宋"/>
          <w:sz w:val="32"/>
          <w:szCs w:val="32"/>
          <w:highlight w:val="none"/>
          <w:lang w:val="en-US" w:eastAsia="zh-CN"/>
        </w:rPr>
        <w:t>46235.95</w:t>
      </w:r>
      <w:r>
        <w:rPr>
          <w:rFonts w:hint="eastAsia" w:ascii="仿宋" w:hAnsi="仿宋" w:eastAsia="仿宋"/>
          <w:sz w:val="32"/>
          <w:szCs w:val="32"/>
          <w:highlight w:val="none"/>
        </w:rPr>
        <w:t xml:space="preserve">万元，其中：本年收入 </w:t>
      </w:r>
      <w:r>
        <w:rPr>
          <w:rFonts w:hint="eastAsia" w:ascii="仿宋" w:hAnsi="仿宋" w:eastAsia="仿宋"/>
          <w:sz w:val="32"/>
          <w:szCs w:val="32"/>
          <w:highlight w:val="none"/>
          <w:lang w:val="en-US" w:eastAsia="zh-CN"/>
        </w:rPr>
        <w:t>23117.98</w:t>
      </w:r>
      <w:r>
        <w:rPr>
          <w:rFonts w:hint="eastAsia" w:ascii="仿宋" w:hAnsi="仿宋" w:eastAsia="仿宋"/>
          <w:sz w:val="32"/>
          <w:szCs w:val="32"/>
          <w:highlight w:val="none"/>
        </w:rPr>
        <w:t>万元。本年支出</w:t>
      </w:r>
      <w:r>
        <w:rPr>
          <w:rFonts w:hint="eastAsia" w:ascii="仿宋" w:hAnsi="仿宋" w:eastAsia="仿宋"/>
          <w:sz w:val="32"/>
          <w:szCs w:val="32"/>
          <w:highlight w:val="none"/>
          <w:lang w:val="en-US" w:eastAsia="zh-CN"/>
        </w:rPr>
        <w:t>23117.98</w:t>
      </w:r>
      <w:r>
        <w:rPr>
          <w:rFonts w:hint="eastAsia" w:ascii="仿宋" w:hAnsi="仿宋" w:eastAsia="仿宋"/>
          <w:sz w:val="32"/>
          <w:szCs w:val="32"/>
          <w:highlight w:val="none"/>
        </w:rPr>
        <w:t>万元，支出包括：一般公共服务支出</w:t>
      </w:r>
      <w:r>
        <w:rPr>
          <w:rFonts w:hint="eastAsia" w:ascii="仿宋" w:hAnsi="仿宋" w:eastAsia="仿宋"/>
          <w:sz w:val="32"/>
          <w:szCs w:val="32"/>
          <w:highlight w:val="none"/>
          <w:lang w:val="en-US" w:eastAsia="zh-CN"/>
        </w:rPr>
        <w:t>184.07</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28.82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节能环保支出108</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lang w:eastAsia="zh-CN"/>
        </w:rPr>
        <w:t>6万元，交通运输支出22781</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lang w:eastAsia="zh-CN"/>
        </w:rPr>
        <w:t>21万元，住房保障支出15</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lang w:eastAsia="zh-CN"/>
        </w:rPr>
        <w:t>27万元</w:t>
      </w:r>
      <w:r>
        <w:rPr>
          <w:rFonts w:hint="eastAsia" w:ascii="仿宋" w:hAnsi="仿宋" w:eastAsia="仿宋"/>
          <w:sz w:val="32"/>
          <w:szCs w:val="32"/>
          <w:highlight w:val="none"/>
          <w:lang w:val="en-US" w:eastAsia="zh-CN"/>
        </w:rPr>
        <w:t>。</w:t>
      </w:r>
    </w:p>
    <w:p w14:paraId="113EA7E6">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rPr>
        <w:t>五、202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年一般公共预算支出情况</w:t>
      </w:r>
    </w:p>
    <w:p w14:paraId="362C178E">
      <w:pPr>
        <w:ind w:firstLine="640" w:firstLineChars="200"/>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23117.98</w:t>
      </w:r>
      <w:r>
        <w:rPr>
          <w:rFonts w:hint="eastAsia" w:ascii="仿宋" w:hAnsi="仿宋" w:eastAsia="仿宋"/>
          <w:sz w:val="32"/>
          <w:szCs w:val="32"/>
          <w:highlight w:val="none"/>
        </w:rPr>
        <w:t>万元，其中：基本支出</w:t>
      </w:r>
      <w:r>
        <w:rPr>
          <w:rFonts w:hint="eastAsia" w:ascii="仿宋" w:hAnsi="仿宋" w:eastAsia="仿宋"/>
          <w:sz w:val="32"/>
          <w:szCs w:val="32"/>
          <w:highlight w:val="none"/>
          <w:lang w:val="en-US" w:eastAsia="zh-CN"/>
        </w:rPr>
        <w:t>212.61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0.92</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22905.37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99.08</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176.14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82.85</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35.28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17.15</w:t>
      </w:r>
      <w:r>
        <w:rPr>
          <w:rFonts w:hint="eastAsia" w:ascii="仿宋" w:hAnsi="仿宋" w:eastAsia="仿宋"/>
          <w:sz w:val="32"/>
          <w:szCs w:val="32"/>
          <w:highlight w:val="none"/>
        </w:rPr>
        <w:t>%。</w:t>
      </w:r>
    </w:p>
    <w:p w14:paraId="7AE3769D">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一般公共服务（类）支出 </w:t>
      </w:r>
      <w:r>
        <w:rPr>
          <w:rFonts w:hint="eastAsia" w:ascii="仿宋" w:hAnsi="仿宋" w:eastAsia="仿宋"/>
          <w:sz w:val="32"/>
          <w:szCs w:val="32"/>
          <w:highlight w:val="none"/>
          <w:lang w:val="en-US" w:eastAsia="zh-CN"/>
        </w:rPr>
        <w:t>184.07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0.8</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人员工资、项目前期费及办公经费</w:t>
      </w:r>
      <w:r>
        <w:rPr>
          <w:rFonts w:hint="eastAsia" w:ascii="仿宋" w:hAnsi="仿宋" w:eastAsia="仿宋"/>
          <w:sz w:val="32"/>
          <w:szCs w:val="32"/>
          <w:highlight w:val="none"/>
        </w:rPr>
        <w:t>。</w:t>
      </w:r>
    </w:p>
    <w:p w14:paraId="59F47C99">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28.82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0.12</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社会保险缴费</w:t>
      </w:r>
      <w:r>
        <w:rPr>
          <w:rFonts w:hint="eastAsia" w:ascii="仿宋" w:hAnsi="仿宋" w:eastAsia="仿宋"/>
          <w:sz w:val="32"/>
          <w:szCs w:val="32"/>
          <w:highlight w:val="none"/>
        </w:rPr>
        <w:t>。</w:t>
      </w:r>
    </w:p>
    <w:p w14:paraId="25CE39E6">
      <w:pPr>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节能环保支出108</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lang w:eastAsia="zh-CN"/>
        </w:rPr>
        <w:t>6万元，</w:t>
      </w:r>
      <w:r>
        <w:rPr>
          <w:rFonts w:hint="eastAsia" w:ascii="仿宋" w:hAnsi="仿宋" w:eastAsia="仿宋"/>
          <w:sz w:val="32"/>
          <w:szCs w:val="32"/>
          <w:highlight w:val="none"/>
        </w:rPr>
        <w:t>占</w:t>
      </w:r>
      <w:r>
        <w:rPr>
          <w:rFonts w:hint="eastAsia" w:ascii="仿宋" w:hAnsi="仿宋" w:eastAsia="仿宋"/>
          <w:sz w:val="32"/>
          <w:szCs w:val="32"/>
          <w:highlight w:val="none"/>
          <w:lang w:val="en-US" w:eastAsia="zh-CN"/>
        </w:rPr>
        <w:t>0.47</w:t>
      </w:r>
      <w:r>
        <w:rPr>
          <w:rFonts w:hint="eastAsia" w:ascii="仿宋" w:hAnsi="仿宋" w:eastAsia="仿宋"/>
          <w:sz w:val="32"/>
          <w:szCs w:val="32"/>
          <w:highlight w:val="none"/>
        </w:rPr>
        <w:t>%，主要用于：电动汽车充换电基础设施建设省级财政补贴</w:t>
      </w:r>
      <w:r>
        <w:rPr>
          <w:rFonts w:hint="eastAsia" w:ascii="仿宋" w:hAnsi="仿宋" w:eastAsia="仿宋"/>
          <w:sz w:val="32"/>
          <w:szCs w:val="32"/>
          <w:highlight w:val="none"/>
          <w:lang w:eastAsia="zh-CN"/>
        </w:rPr>
        <w:t>。</w:t>
      </w:r>
    </w:p>
    <w:p w14:paraId="11FF3DA6">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交通运输支出22781</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lang w:eastAsia="zh-CN"/>
        </w:rPr>
        <w:t>21万元，</w:t>
      </w:r>
      <w:r>
        <w:rPr>
          <w:rFonts w:hint="eastAsia" w:ascii="仿宋" w:hAnsi="仿宋" w:eastAsia="仿宋"/>
          <w:sz w:val="32"/>
          <w:szCs w:val="32"/>
          <w:highlight w:val="none"/>
        </w:rPr>
        <w:t>占</w:t>
      </w:r>
      <w:r>
        <w:rPr>
          <w:rFonts w:hint="eastAsia" w:ascii="仿宋" w:hAnsi="仿宋" w:eastAsia="仿宋"/>
          <w:sz w:val="32"/>
          <w:szCs w:val="32"/>
          <w:highlight w:val="none"/>
          <w:lang w:val="en-US" w:eastAsia="zh-CN"/>
        </w:rPr>
        <w:t xml:space="preserve"> 98.54</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沈吉线西阳至马相屯段水害整治工程及沈阳至吉林线电气化改造工程（永吉段征地拆迁补偿费）。</w:t>
      </w:r>
    </w:p>
    <w:p w14:paraId="752A0F73">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住房保障支出15</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lang w:eastAsia="zh-CN"/>
        </w:rPr>
        <w:t>27万元</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占</w:t>
      </w:r>
      <w:r>
        <w:rPr>
          <w:rFonts w:hint="eastAsia" w:ascii="仿宋" w:hAnsi="仿宋" w:eastAsia="仿宋"/>
          <w:sz w:val="32"/>
          <w:szCs w:val="32"/>
          <w:highlight w:val="none"/>
          <w:lang w:val="en-US" w:eastAsia="zh-CN"/>
        </w:rPr>
        <w:t xml:space="preserve">0.07 </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住房公积金</w:t>
      </w:r>
      <w:r>
        <w:rPr>
          <w:rFonts w:hint="eastAsia" w:ascii="仿宋" w:hAnsi="仿宋" w:eastAsia="仿宋"/>
          <w:sz w:val="32"/>
          <w:szCs w:val="32"/>
          <w:highlight w:val="none"/>
        </w:rPr>
        <w:t>。</w:t>
      </w:r>
    </w:p>
    <w:p w14:paraId="1D655B29">
      <w:pPr>
        <w:pStyle w:val="9"/>
        <w:rPr>
          <w:rFonts w:ascii="楷体" w:hAnsi="楷体" w:eastAsia="楷体"/>
          <w:kern w:val="0"/>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rPr>
        <w:t>六、202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年一般公共预算基本支出情况</w:t>
      </w:r>
    </w:p>
    <w:p w14:paraId="28556014">
      <w:pPr>
        <w:ind w:firstLine="640" w:firstLineChars="200"/>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年一般公共预算基本支出</w:t>
      </w:r>
      <w:r>
        <w:rPr>
          <w:rFonts w:hint="eastAsia" w:ascii="仿宋" w:hAnsi="仿宋" w:eastAsia="仿宋"/>
          <w:sz w:val="32"/>
          <w:szCs w:val="32"/>
          <w:highlight w:val="none"/>
          <w:lang w:val="en-US" w:eastAsia="zh-CN"/>
        </w:rPr>
        <w:t>212.61</w:t>
      </w:r>
      <w:r>
        <w:rPr>
          <w:rFonts w:hint="eastAsia" w:ascii="仿宋" w:hAnsi="仿宋" w:eastAsia="仿宋"/>
          <w:sz w:val="32"/>
          <w:szCs w:val="32"/>
          <w:highlight w:val="none"/>
        </w:rPr>
        <w:t>万元，其中：</w:t>
      </w:r>
    </w:p>
    <w:p w14:paraId="03F4859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176.14</w:t>
      </w:r>
      <w:r>
        <w:rPr>
          <w:rFonts w:hint="eastAsia" w:ascii="仿宋" w:hAnsi="仿宋" w:eastAsia="仿宋"/>
          <w:sz w:val="32"/>
          <w:szCs w:val="32"/>
          <w:highlight w:val="none"/>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35.28</w:t>
      </w:r>
      <w:r>
        <w:rPr>
          <w:rFonts w:hint="eastAsia" w:ascii="仿宋" w:hAnsi="仿宋" w:eastAsia="仿宋"/>
          <w:sz w:val="32"/>
          <w:szCs w:val="32"/>
          <w:highlight w:val="none"/>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rPr>
        <w:t>七、202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年一般公共预算财政拨款“三公经费”情况</w:t>
      </w:r>
    </w:p>
    <w:p w14:paraId="2ABE82E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4.58</w:t>
      </w:r>
      <w:r>
        <w:rPr>
          <w:rFonts w:hint="eastAsia" w:ascii="仿宋" w:hAnsi="仿宋" w:eastAsia="仿宋"/>
          <w:kern w:val="0"/>
          <w:sz w:val="32"/>
          <w:szCs w:val="32"/>
          <w:highlight w:val="none"/>
        </w:rPr>
        <w:t>万元，比202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 xml:space="preserve">年预算减少 </w:t>
      </w:r>
      <w:r>
        <w:rPr>
          <w:rFonts w:hint="eastAsia" w:ascii="仿宋" w:hAnsi="仿宋" w:eastAsia="仿宋"/>
          <w:kern w:val="0"/>
          <w:sz w:val="32"/>
          <w:szCs w:val="32"/>
          <w:highlight w:val="none"/>
          <w:lang w:val="en-US" w:eastAsia="zh-CN"/>
        </w:rPr>
        <w:t>0.07</w:t>
      </w:r>
      <w:r>
        <w:rPr>
          <w:rFonts w:hint="eastAsia" w:ascii="仿宋" w:hAnsi="仿宋" w:eastAsia="仿宋"/>
          <w:kern w:val="0"/>
          <w:sz w:val="32"/>
          <w:szCs w:val="32"/>
          <w:highlight w:val="none"/>
        </w:rPr>
        <w:t xml:space="preserve"> 万元。其中：</w:t>
      </w:r>
    </w:p>
    <w:p w14:paraId="1319EA80">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1.因公出国（境）费 0 万元，与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5B2D5F87">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0.58</w:t>
      </w:r>
      <w:r>
        <w:rPr>
          <w:rFonts w:hint="eastAsia" w:ascii="仿宋" w:hAnsi="仿宋" w:eastAsia="仿宋"/>
          <w:kern w:val="0"/>
          <w:sz w:val="32"/>
          <w:szCs w:val="32"/>
          <w:highlight w:val="none"/>
        </w:rPr>
        <w:t>万元，比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0.07</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压缩经费</w:t>
      </w:r>
      <w:r>
        <w:rPr>
          <w:rFonts w:hint="eastAsia" w:ascii="仿宋" w:hAnsi="仿宋" w:eastAsia="仿宋"/>
          <w:kern w:val="0"/>
          <w:sz w:val="32"/>
          <w:szCs w:val="32"/>
          <w:highlight w:val="none"/>
        </w:rPr>
        <w:t>。</w:t>
      </w:r>
    </w:p>
    <w:p w14:paraId="7288DF6E">
      <w:pPr>
        <w:pStyle w:val="9"/>
        <w:rPr>
          <w:rFonts w:ascii="仿宋" w:hAnsi="仿宋" w:eastAsia="仿宋"/>
          <w:kern w:val="0"/>
          <w:sz w:val="32"/>
          <w:szCs w:val="32"/>
          <w:highlight w:val="none"/>
        </w:rPr>
      </w:pPr>
      <w:r>
        <w:rPr>
          <w:rFonts w:hint="eastAsia" w:ascii="仿宋" w:hAnsi="仿宋" w:eastAsia="仿宋"/>
          <w:kern w:val="0"/>
          <w:sz w:val="32"/>
          <w:szCs w:val="32"/>
          <w:highlight w:val="none"/>
        </w:rPr>
        <w:t xml:space="preserve">3.公务用车购置及运行费 </w:t>
      </w:r>
      <w:r>
        <w:rPr>
          <w:rFonts w:hint="eastAsia" w:ascii="仿宋" w:hAnsi="仿宋" w:eastAsia="仿宋"/>
          <w:kern w:val="0"/>
          <w:sz w:val="32"/>
          <w:szCs w:val="32"/>
          <w:highlight w:val="none"/>
          <w:lang w:val="en-US" w:eastAsia="zh-CN"/>
        </w:rPr>
        <w:t>0.4</w:t>
      </w:r>
      <w:r>
        <w:rPr>
          <w:rFonts w:hint="eastAsia" w:ascii="仿宋" w:hAnsi="仿宋" w:eastAsia="仿宋"/>
          <w:kern w:val="0"/>
          <w:sz w:val="32"/>
          <w:szCs w:val="32"/>
          <w:highlight w:val="none"/>
        </w:rPr>
        <w:t>万元，比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 xml:space="preserve"> 年预算数</w:t>
      </w:r>
      <w:r>
        <w:rPr>
          <w:rFonts w:hint="eastAsia" w:ascii="仿宋" w:hAnsi="仿宋" w:eastAsia="仿宋"/>
          <w:kern w:val="0"/>
          <w:sz w:val="32"/>
          <w:szCs w:val="32"/>
          <w:highlight w:val="none"/>
          <w:lang w:eastAsia="zh-CN"/>
        </w:rPr>
        <w:t>持平</w:t>
      </w:r>
      <w:r>
        <w:rPr>
          <w:rFonts w:hint="eastAsia" w:ascii="仿宋" w:hAnsi="仿宋" w:eastAsia="仿宋"/>
          <w:kern w:val="0"/>
          <w:sz w:val="32"/>
          <w:szCs w:val="32"/>
          <w:highlight w:val="none"/>
        </w:rPr>
        <w:t xml:space="preserve">。其中，公务用车运行维护费 </w:t>
      </w:r>
      <w:r>
        <w:rPr>
          <w:rFonts w:hint="eastAsia" w:ascii="仿宋" w:hAnsi="仿宋" w:eastAsia="仿宋"/>
          <w:kern w:val="0"/>
          <w:sz w:val="32"/>
          <w:szCs w:val="32"/>
          <w:highlight w:val="none"/>
          <w:lang w:val="en-US" w:eastAsia="zh-CN"/>
        </w:rPr>
        <w:t>0.4</w:t>
      </w:r>
      <w:r>
        <w:rPr>
          <w:rFonts w:hint="eastAsia" w:ascii="仿宋" w:hAnsi="仿宋" w:eastAsia="仿宋"/>
          <w:kern w:val="0"/>
          <w:sz w:val="32"/>
          <w:szCs w:val="32"/>
          <w:highlight w:val="none"/>
        </w:rPr>
        <w:t xml:space="preserve"> 万元，比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持平</w:t>
      </w:r>
      <w:r>
        <w:rPr>
          <w:rFonts w:hint="eastAsia" w:ascii="仿宋" w:hAnsi="仿宋" w:eastAsia="仿宋"/>
          <w:kern w:val="0"/>
          <w:sz w:val="32"/>
          <w:szCs w:val="32"/>
          <w:highlight w:val="none"/>
        </w:rPr>
        <w:t>，主要原因是</w:t>
      </w:r>
      <w:r>
        <w:rPr>
          <w:rFonts w:hint="eastAsia" w:ascii="仿宋" w:hAnsi="仿宋" w:eastAsia="仿宋"/>
          <w:kern w:val="0"/>
          <w:sz w:val="32"/>
          <w:szCs w:val="32"/>
          <w:highlight w:val="none"/>
          <w:lang w:eastAsia="zh-CN"/>
        </w:rPr>
        <w:t>日常车辆保养及加油</w:t>
      </w:r>
      <w:r>
        <w:rPr>
          <w:rFonts w:hint="eastAsia" w:ascii="仿宋" w:hAnsi="仿宋" w:eastAsia="仿宋"/>
          <w:kern w:val="0"/>
          <w:sz w:val="32"/>
          <w:szCs w:val="32"/>
          <w:highlight w:val="none"/>
        </w:rPr>
        <w:t xml:space="preserve">，公务用车购置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 xml:space="preserve">年减少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p>
    <w:p w14:paraId="60353E9A">
      <w:pPr>
        <w:pStyle w:val="9"/>
        <w:rPr>
          <w:rFonts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rPr>
        <w:t>八、202</w:t>
      </w:r>
      <w:r>
        <w:rPr>
          <w:rFonts w:hint="eastAsia" w:ascii="楷体" w:hAnsi="楷体" w:eastAsia="楷体" w:cs="楷体"/>
          <w:sz w:val="32"/>
          <w:szCs w:val="32"/>
          <w:highlight w:val="none"/>
          <w:lang w:val="en-US" w:eastAsia="zh-CN"/>
        </w:rPr>
        <w:t>5</w:t>
      </w:r>
      <w:r>
        <w:rPr>
          <w:rFonts w:hint="eastAsia" w:ascii="楷体" w:hAnsi="楷体" w:eastAsia="楷体" w:cs="楷体"/>
          <w:sz w:val="32"/>
          <w:szCs w:val="32"/>
          <w:highlight w:val="none"/>
        </w:rPr>
        <w:t>年政府性基金预算支出情况</w:t>
      </w:r>
    </w:p>
    <w:p w14:paraId="6CFED0B9">
      <w:pPr>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w:t>
      </w:r>
      <w:r>
        <w:rPr>
          <w:rFonts w:hint="eastAsia" w:ascii="仿宋" w:hAnsi="仿宋" w:eastAsia="仿宋"/>
          <w:sz w:val="32"/>
          <w:szCs w:val="32"/>
          <w:highlight w:val="none"/>
        </w:rPr>
        <w:t>本单位无政府性基金预算支出</w:t>
      </w:r>
      <w:r>
        <w:rPr>
          <w:rFonts w:hint="eastAsia" w:ascii="仿宋" w:hAnsi="仿宋" w:eastAsia="仿宋"/>
          <w:sz w:val="32"/>
          <w:szCs w:val="32"/>
          <w:highlight w:val="none"/>
          <w:lang w:eastAsia="zh-CN"/>
        </w:rPr>
        <w:t>。</w:t>
      </w:r>
    </w:p>
    <w:p w14:paraId="39906816">
      <w:pPr>
        <w:pStyle w:val="9"/>
        <w:ind w:firstLine="640"/>
        <w:rPr>
          <w:rFonts w:ascii="楷体" w:hAnsi="楷体" w:eastAsia="楷体" w:cs="楷体"/>
          <w:sz w:val="32"/>
          <w:szCs w:val="32"/>
          <w:highlight w:val="none"/>
        </w:rPr>
      </w:pPr>
      <w:r>
        <w:rPr>
          <w:rFonts w:hint="eastAsia" w:ascii="楷体" w:hAnsi="楷体" w:eastAsia="楷体" w:cs="楷体"/>
          <w:sz w:val="32"/>
          <w:szCs w:val="32"/>
          <w:highlight w:val="none"/>
        </w:rPr>
        <w:t>九、202</w:t>
      </w:r>
      <w:r>
        <w:rPr>
          <w:rFonts w:hint="eastAsia" w:ascii="楷体" w:hAnsi="楷体" w:eastAsia="楷体" w:cs="楷体"/>
          <w:sz w:val="32"/>
          <w:szCs w:val="32"/>
          <w:highlight w:val="none"/>
          <w:lang w:val="en-US" w:eastAsia="zh-CN"/>
        </w:rPr>
        <w:t>5</w:t>
      </w:r>
      <w:r>
        <w:rPr>
          <w:rFonts w:hint="eastAsia" w:ascii="楷体" w:hAnsi="楷体" w:eastAsia="楷体" w:cs="楷体"/>
          <w:sz w:val="32"/>
          <w:szCs w:val="32"/>
          <w:highlight w:val="none"/>
        </w:rPr>
        <w:t>年国有资本经营预算支出情况</w:t>
      </w:r>
    </w:p>
    <w:p w14:paraId="782715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val="en-US" w:eastAsia="zh-CN"/>
        </w:rPr>
        <w:t>2025年</w:t>
      </w:r>
      <w:r>
        <w:rPr>
          <w:rFonts w:hint="eastAsia" w:ascii="仿宋" w:hAnsi="仿宋" w:eastAsia="仿宋"/>
          <w:sz w:val="32"/>
          <w:szCs w:val="32"/>
          <w:highlight w:val="none"/>
        </w:rPr>
        <w:t>本单位无国有资本经营预算支出。</w:t>
      </w:r>
    </w:p>
    <w:p w14:paraId="028EDDC6">
      <w:pPr>
        <w:numPr>
          <w:ilvl w:val="0"/>
          <w:numId w:val="3"/>
        </w:numPr>
        <w:jc w:val="left"/>
        <w:rPr>
          <w:rFonts w:ascii="楷体" w:hAnsi="楷体" w:eastAsia="楷体" w:cs="楷体"/>
          <w:sz w:val="32"/>
          <w:szCs w:val="32"/>
          <w:highlight w:val="none"/>
        </w:rPr>
      </w:pPr>
      <w:r>
        <w:rPr>
          <w:rFonts w:hint="eastAsia" w:ascii="楷体" w:hAnsi="楷体" w:eastAsia="楷体" w:cs="楷体"/>
          <w:sz w:val="32"/>
          <w:szCs w:val="32"/>
          <w:highlight w:val="none"/>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年本单位机关运行经费财政拨款预算</w:t>
      </w:r>
      <w:r>
        <w:rPr>
          <w:rFonts w:hint="eastAsia" w:ascii="仿宋" w:hAnsi="仿宋" w:eastAsia="仿宋"/>
          <w:sz w:val="32"/>
          <w:szCs w:val="32"/>
          <w:highlight w:val="none"/>
          <w:lang w:val="en-US" w:eastAsia="zh-CN"/>
        </w:rPr>
        <w:t>38.28</w:t>
      </w:r>
      <w:r>
        <w:rPr>
          <w:rFonts w:hint="eastAsia" w:ascii="仿宋" w:hAnsi="仿宋" w:eastAsia="仿宋"/>
          <w:sz w:val="32"/>
          <w:szCs w:val="32"/>
          <w:highlight w:val="none"/>
        </w:rPr>
        <w:t>万元，比 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0.64</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1.7</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人员增加</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50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万元，政府采购服务预算 </w:t>
      </w:r>
      <w:r>
        <w:rPr>
          <w:rFonts w:hint="eastAsia" w:ascii="仿宋" w:hAnsi="仿宋" w:eastAsia="仿宋"/>
          <w:sz w:val="32"/>
          <w:szCs w:val="32"/>
          <w:highlight w:val="none"/>
          <w:lang w:val="en-US" w:eastAsia="zh-CN"/>
        </w:rPr>
        <w:t>50</w:t>
      </w:r>
      <w:r>
        <w:rPr>
          <w:rFonts w:hint="eastAsia" w:ascii="仿宋" w:hAnsi="仿宋" w:eastAsia="仿宋"/>
          <w:sz w:val="32"/>
          <w:szCs w:val="32"/>
          <w:highlight w:val="none"/>
        </w:rPr>
        <w:t>元。</w:t>
      </w:r>
    </w:p>
    <w:p w14:paraId="32E1CB5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（三）国有资产占有使用情况</w:t>
      </w:r>
    </w:p>
    <w:p w14:paraId="6E80D1C3">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年1月，部门本级和所属各预算单位共有车辆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7CFB465B">
      <w:pPr>
        <w:pStyle w:val="8"/>
        <w:ind w:firstLine="640"/>
        <w:jc w:val="left"/>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6C4F406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将</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8</w:t>
      </w:r>
      <w:r>
        <w:rPr>
          <w:rFonts w:hint="eastAsia" w:ascii="仿宋" w:hAnsi="仿宋" w:eastAsia="仿宋"/>
          <w:sz w:val="32"/>
          <w:szCs w:val="32"/>
          <w:highlight w:val="none"/>
        </w:rPr>
        <w:t>个项目</w:t>
      </w:r>
      <w:r>
        <w:rPr>
          <w:rFonts w:hint="eastAsia" w:ascii="仿宋" w:hAnsi="仿宋" w:eastAsia="仿宋"/>
          <w:sz w:val="32"/>
          <w:szCs w:val="32"/>
          <w:highlight w:val="none"/>
          <w:lang w:eastAsia="zh-CN"/>
        </w:rPr>
        <w:t>支出的绩效目标和指标向社会公开</w:t>
      </w:r>
      <w:r>
        <w:rPr>
          <w:rFonts w:hint="eastAsia" w:ascii="仿宋" w:hAnsi="仿宋" w:eastAsia="仿宋"/>
          <w:sz w:val="32"/>
          <w:szCs w:val="32"/>
          <w:highlight w:val="none"/>
        </w:rPr>
        <w:t xml:space="preserve">，涉及金额 </w:t>
      </w:r>
      <w:r>
        <w:rPr>
          <w:rFonts w:hint="eastAsia" w:ascii="仿宋" w:hAnsi="仿宋" w:eastAsia="仿宋"/>
          <w:sz w:val="32"/>
          <w:szCs w:val="32"/>
          <w:highlight w:val="none"/>
          <w:lang w:val="en-US" w:eastAsia="zh-CN"/>
        </w:rPr>
        <w:t>352.65</w:t>
      </w:r>
      <w:r>
        <w:rPr>
          <w:rFonts w:hint="eastAsia" w:ascii="仿宋" w:hAnsi="仿宋" w:eastAsia="仿宋"/>
          <w:sz w:val="32"/>
          <w:szCs w:val="32"/>
          <w:highlight w:val="none"/>
        </w:rPr>
        <w:t>万元。</w:t>
      </w:r>
    </w:p>
    <w:p w14:paraId="3C527A83">
      <w:pPr>
        <w:jc w:val="center"/>
        <w:rPr>
          <w:rFonts w:ascii="仿宋" w:hAnsi="仿宋" w:eastAsia="仿宋"/>
          <w:sz w:val="32"/>
          <w:szCs w:val="32"/>
          <w:highlight w:val="none"/>
        </w:rPr>
      </w:pPr>
    </w:p>
    <w:p w14:paraId="3246D9BB">
      <w:pPr>
        <w:jc w:val="center"/>
        <w:rPr>
          <w:rFonts w:ascii="仿宋" w:hAnsi="仿宋" w:eastAsia="仿宋"/>
          <w:sz w:val="32"/>
          <w:szCs w:val="32"/>
          <w:highlight w:val="none"/>
        </w:rPr>
      </w:pPr>
    </w:p>
    <w:p w14:paraId="3CDC1985">
      <w:pPr>
        <w:jc w:val="center"/>
        <w:rPr>
          <w:rFonts w:ascii="仿宋" w:hAnsi="仿宋" w:eastAsia="仿宋"/>
          <w:sz w:val="32"/>
          <w:szCs w:val="32"/>
          <w:highlight w:val="none"/>
        </w:rPr>
      </w:pPr>
    </w:p>
    <w:p w14:paraId="7E3C378D">
      <w:pPr>
        <w:jc w:val="center"/>
        <w:rPr>
          <w:rFonts w:ascii="仿宋" w:hAnsi="仿宋" w:eastAsia="仿宋"/>
          <w:sz w:val="32"/>
          <w:szCs w:val="32"/>
          <w:highlight w:val="none"/>
        </w:rPr>
      </w:pPr>
    </w:p>
    <w:p w14:paraId="54061301">
      <w:pPr>
        <w:jc w:val="center"/>
        <w:rPr>
          <w:rFonts w:ascii="仿宋" w:hAnsi="仿宋" w:eastAsia="仿宋"/>
          <w:sz w:val="32"/>
          <w:szCs w:val="32"/>
          <w:highlight w:val="none"/>
        </w:rPr>
      </w:pPr>
    </w:p>
    <w:p w14:paraId="0585A7F6">
      <w:pPr>
        <w:jc w:val="center"/>
        <w:rPr>
          <w:rFonts w:ascii="仿宋" w:hAnsi="仿宋" w:eastAsia="仿宋"/>
          <w:sz w:val="32"/>
          <w:szCs w:val="32"/>
          <w:highlight w:val="none"/>
        </w:rPr>
      </w:pPr>
    </w:p>
    <w:p w14:paraId="24D4BE30">
      <w:pPr>
        <w:jc w:val="center"/>
        <w:rPr>
          <w:rFonts w:ascii="仿宋" w:hAnsi="仿宋" w:eastAsia="仿宋"/>
          <w:sz w:val="32"/>
          <w:szCs w:val="32"/>
          <w:highlight w:val="none"/>
        </w:rPr>
      </w:pPr>
    </w:p>
    <w:p w14:paraId="5BEAB39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2BA8D4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一、一般公共预算拨款收入：指本级财政通过当年一般公共预算拨付的资金。</w:t>
      </w:r>
    </w:p>
    <w:p w14:paraId="2B7CFECE">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二、政府性基金预算拨款收入：指本级财政通过当年政府性基金预算拨付的资金。</w:t>
      </w:r>
    </w:p>
    <w:p w14:paraId="19E1AEFC">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三、国有资本经营预算拨款收入：指本级财政通过当年国有资本经营预算拨付的资金。</w:t>
      </w:r>
    </w:p>
    <w:p w14:paraId="253786D9">
      <w:pPr>
        <w:ind w:firstLine="640" w:firstLineChars="200"/>
        <w:rPr>
          <w:rFonts w:ascii="仿宋_GB2312" w:eastAsia="仿宋_GB2312"/>
          <w:sz w:val="32"/>
          <w:szCs w:val="32"/>
          <w:highlight w:val="none"/>
        </w:rPr>
      </w:pPr>
      <w:r>
        <w:rPr>
          <w:rFonts w:hint="eastAsia" w:ascii="仿宋_GB2312" w:eastAsia="仿宋_GB2312"/>
          <w:sz w:val="32"/>
          <w:szCs w:val="32"/>
          <w:highlight w:val="none"/>
        </w:rPr>
        <w:t>四、其他收入：指除上述收入以外的各项收入。包括银行存款利息收入。</w:t>
      </w:r>
    </w:p>
    <w:p w14:paraId="2EE06A32">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六、项目支出：指在基本支出之外为完成特定行政工作任务和事业发展目标所发生的各项支出。</w:t>
      </w:r>
    </w:p>
    <w:p w14:paraId="0FD705C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十二、项目支出绩效目标：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E9CC6">
      <w:pPr>
        <w:ind w:firstLine="640" w:firstLineChars="200"/>
        <w:rPr>
          <w:rFonts w:ascii="仿宋_GB2312" w:eastAsia="仿宋_GB2312"/>
          <w:sz w:val="32"/>
          <w:szCs w:val="32"/>
          <w:highlight w:val="none"/>
        </w:rPr>
      </w:pPr>
    </w:p>
    <w:p w14:paraId="32057B37">
      <w:pPr>
        <w:ind w:firstLine="640" w:firstLineChars="200"/>
        <w:rPr>
          <w:rFonts w:ascii="仿宋_GB2312" w:eastAsia="仿宋_GB2312"/>
          <w:sz w:val="32"/>
          <w:szCs w:val="32"/>
          <w:highlight w:val="none"/>
        </w:rPr>
      </w:pPr>
    </w:p>
    <w:p w14:paraId="7E5FBB7D">
      <w:pPr>
        <w:ind w:firstLine="640" w:firstLineChars="200"/>
        <w:rPr>
          <w:rFonts w:ascii="仿宋_GB2312" w:eastAsia="仿宋_GB2312"/>
          <w:sz w:val="32"/>
          <w:szCs w:val="32"/>
          <w:highlight w:val="none"/>
        </w:rPr>
      </w:pPr>
    </w:p>
    <w:p w14:paraId="5E2DCA2B">
      <w:pPr>
        <w:ind w:firstLine="640" w:firstLineChars="200"/>
        <w:rPr>
          <w:rFonts w:ascii="仿宋_GB2312" w:eastAsia="仿宋_GB2312"/>
          <w:sz w:val="32"/>
          <w:szCs w:val="32"/>
          <w:highlight w:val="none"/>
        </w:rPr>
      </w:pPr>
    </w:p>
    <w:p w14:paraId="5738CDE8">
      <w:pPr>
        <w:ind w:firstLine="640" w:firstLineChars="200"/>
        <w:rPr>
          <w:rFonts w:ascii="仿宋_GB2312" w:eastAsia="仿宋_GB2312"/>
          <w:sz w:val="32"/>
          <w:szCs w:val="32"/>
          <w:highlight w:val="none"/>
        </w:rPr>
      </w:pPr>
    </w:p>
    <w:p w14:paraId="26E91F23">
      <w:pPr>
        <w:ind w:firstLine="640" w:firstLineChars="200"/>
        <w:rPr>
          <w:rFonts w:ascii="仿宋_GB2312" w:eastAsia="仿宋_GB2312"/>
          <w:sz w:val="32"/>
          <w:szCs w:val="32"/>
          <w:highlight w:val="none"/>
        </w:rPr>
      </w:pPr>
    </w:p>
    <w:p w14:paraId="046F2AA6">
      <w:pPr>
        <w:ind w:firstLine="640" w:firstLineChars="200"/>
        <w:rPr>
          <w:rFonts w:ascii="仿宋_GB2312" w:eastAsia="仿宋_GB2312"/>
          <w:sz w:val="32"/>
          <w:szCs w:val="32"/>
          <w:highlight w:val="none"/>
        </w:rPr>
      </w:pPr>
    </w:p>
    <w:p w14:paraId="25B746C7">
      <w:pPr>
        <w:ind w:firstLine="640" w:firstLineChars="200"/>
        <w:rPr>
          <w:rFonts w:ascii="仿宋_GB2312" w:eastAsia="仿宋_GB2312"/>
          <w:sz w:val="32"/>
          <w:szCs w:val="32"/>
          <w:highlight w:val="none"/>
        </w:rPr>
      </w:pPr>
    </w:p>
    <w:p w14:paraId="2809D0E6">
      <w:pPr>
        <w:ind w:firstLine="640" w:firstLineChars="200"/>
        <w:rPr>
          <w:rFonts w:ascii="仿宋_GB2312" w:eastAsia="仿宋_GB2312"/>
          <w:sz w:val="32"/>
          <w:szCs w:val="32"/>
          <w:highlight w:val="none"/>
        </w:rPr>
      </w:pPr>
    </w:p>
    <w:p w14:paraId="191C2630">
      <w:pPr>
        <w:ind w:firstLine="640" w:firstLineChars="200"/>
        <w:rPr>
          <w:rFonts w:ascii="仿宋_GB2312" w:eastAsia="仿宋_GB2312"/>
          <w:sz w:val="32"/>
          <w:szCs w:val="32"/>
          <w:highlight w:val="none"/>
        </w:rPr>
      </w:pPr>
    </w:p>
    <w:p w14:paraId="3A1BD6B1">
      <w:pPr>
        <w:ind w:firstLine="640" w:firstLineChars="200"/>
        <w:rPr>
          <w:rFonts w:ascii="仿宋_GB2312" w:eastAsia="仿宋_GB2312"/>
          <w:sz w:val="32"/>
          <w:szCs w:val="32"/>
          <w:highlight w:val="none"/>
        </w:rPr>
      </w:pPr>
    </w:p>
    <w:p w14:paraId="4A754C98">
      <w:pPr>
        <w:ind w:firstLine="640" w:firstLineChars="200"/>
        <w:rPr>
          <w:rFonts w:ascii="仿宋_GB2312" w:eastAsia="仿宋_GB2312"/>
          <w:sz w:val="32"/>
          <w:szCs w:val="32"/>
          <w:highlight w:val="none"/>
        </w:rPr>
      </w:pPr>
    </w:p>
    <w:p w14:paraId="12B548EE">
      <w:pPr>
        <w:ind w:firstLine="640" w:firstLineChars="200"/>
        <w:rPr>
          <w:rFonts w:ascii="仿宋_GB2312" w:eastAsia="仿宋_GB2312"/>
          <w:sz w:val="32"/>
          <w:szCs w:val="32"/>
          <w:highlight w:val="none"/>
        </w:rPr>
      </w:pPr>
    </w:p>
    <w:p w14:paraId="76E5C6E7">
      <w:pPr>
        <w:ind w:firstLine="640" w:firstLineChars="200"/>
        <w:rPr>
          <w:rFonts w:ascii="仿宋_GB2312" w:eastAsia="仿宋_GB2312"/>
          <w:sz w:val="32"/>
          <w:szCs w:val="32"/>
          <w:highlight w:val="none"/>
        </w:rPr>
      </w:pPr>
    </w:p>
    <w:p w14:paraId="419CA2AB">
      <w:pPr>
        <w:ind w:firstLine="640" w:firstLineChars="200"/>
        <w:rPr>
          <w:rFonts w:ascii="仿宋_GB2312" w:eastAsia="仿宋_GB2312"/>
          <w:sz w:val="32"/>
          <w:szCs w:val="32"/>
          <w:highlight w:val="none"/>
        </w:rPr>
      </w:pPr>
    </w:p>
    <w:p w14:paraId="6AF77B16">
      <w:pPr>
        <w:ind w:firstLine="640" w:firstLineChars="200"/>
        <w:rPr>
          <w:rFonts w:ascii="仿宋_GB2312" w:eastAsia="仿宋_GB2312"/>
          <w:sz w:val="32"/>
          <w:szCs w:val="32"/>
          <w:highlight w:val="none"/>
        </w:rPr>
      </w:pPr>
    </w:p>
    <w:p w14:paraId="1262737F">
      <w:pPr>
        <w:ind w:firstLine="640" w:firstLineChars="200"/>
        <w:rPr>
          <w:rFonts w:ascii="仿宋_GB2312" w:eastAsia="仿宋_GB2312"/>
          <w:sz w:val="32"/>
          <w:szCs w:val="32"/>
          <w:highlight w:val="none"/>
        </w:rPr>
      </w:pPr>
    </w:p>
    <w:p w14:paraId="5DD85297">
      <w:pPr>
        <w:ind w:firstLine="640" w:firstLineChars="200"/>
        <w:rPr>
          <w:rFonts w:ascii="仿宋_GB2312" w:eastAsia="仿宋_GB2312"/>
          <w:sz w:val="32"/>
          <w:szCs w:val="32"/>
          <w:highlight w:val="none"/>
        </w:rPr>
      </w:pPr>
    </w:p>
    <w:p w14:paraId="6EE1E732">
      <w:pPr>
        <w:ind w:firstLine="640" w:firstLineChars="200"/>
        <w:rPr>
          <w:rFonts w:ascii="仿宋_GB2312" w:eastAsia="仿宋_GB2312"/>
          <w:sz w:val="32"/>
          <w:szCs w:val="32"/>
          <w:highlight w:val="none"/>
        </w:rPr>
      </w:pPr>
    </w:p>
    <w:p w14:paraId="303E4D5F">
      <w:pPr>
        <w:ind w:firstLine="640" w:firstLineChars="200"/>
        <w:rPr>
          <w:rFonts w:ascii="仿宋_GB2312" w:eastAsia="仿宋_GB2312"/>
          <w:sz w:val="32"/>
          <w:szCs w:val="32"/>
          <w:highlight w:val="none"/>
        </w:rPr>
      </w:pPr>
    </w:p>
    <w:p w14:paraId="01D86CA1">
      <w:pPr>
        <w:ind w:firstLine="640" w:firstLineChars="200"/>
        <w:rPr>
          <w:rFonts w:ascii="仿宋_GB2312" w:eastAsia="仿宋_GB2312"/>
          <w:sz w:val="32"/>
          <w:szCs w:val="32"/>
          <w:highlight w:val="none"/>
        </w:rPr>
      </w:pPr>
    </w:p>
    <w:p w14:paraId="4B351713">
      <w:pPr>
        <w:ind w:firstLine="640" w:firstLineChars="200"/>
        <w:rPr>
          <w:rFonts w:ascii="仿宋_GB2312" w:eastAsia="仿宋_GB2312"/>
          <w:sz w:val="32"/>
          <w:szCs w:val="32"/>
          <w:highlight w:val="none"/>
        </w:rPr>
      </w:pPr>
    </w:p>
    <w:p w14:paraId="0D6FCB03">
      <w:pPr>
        <w:ind w:firstLine="640" w:firstLineChars="200"/>
        <w:rPr>
          <w:rFonts w:ascii="仿宋_GB2312" w:eastAsia="仿宋_GB2312"/>
          <w:sz w:val="32"/>
          <w:szCs w:val="32"/>
          <w:highlight w:val="none"/>
        </w:rPr>
      </w:pPr>
    </w:p>
    <w:p w14:paraId="2797643C">
      <w:pPr>
        <w:ind w:firstLine="640" w:firstLineChars="200"/>
        <w:rPr>
          <w:rFonts w:ascii="仿宋_GB2312" w:eastAsia="仿宋_GB2312"/>
          <w:sz w:val="32"/>
          <w:szCs w:val="32"/>
          <w:highlight w:val="none"/>
        </w:rPr>
      </w:pPr>
    </w:p>
    <w:p w14:paraId="36F38DE8">
      <w:pPr>
        <w:ind w:firstLine="640" w:firstLineChars="200"/>
        <w:rPr>
          <w:rFonts w:ascii="仿宋_GB2312" w:eastAsia="仿宋_GB2312"/>
          <w:sz w:val="32"/>
          <w:szCs w:val="32"/>
          <w:highlight w:val="none"/>
        </w:rPr>
      </w:pPr>
    </w:p>
    <w:p w14:paraId="129E18A8">
      <w:pPr>
        <w:ind w:firstLine="640" w:firstLineChars="200"/>
        <w:rPr>
          <w:rFonts w:ascii="仿宋_GB2312" w:eastAsia="仿宋_GB2312"/>
          <w:sz w:val="32"/>
          <w:szCs w:val="32"/>
          <w:highlight w:val="none"/>
        </w:rPr>
      </w:pPr>
    </w:p>
    <w:p w14:paraId="23B951A8">
      <w:pPr>
        <w:ind w:firstLine="640" w:firstLineChars="200"/>
        <w:rPr>
          <w:rFonts w:ascii="仿宋_GB2312" w:eastAsia="仿宋_GB2312"/>
          <w:sz w:val="32"/>
          <w:szCs w:val="32"/>
          <w:highlight w:val="none"/>
        </w:rPr>
      </w:pPr>
    </w:p>
    <w:p w14:paraId="68250850">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57010AF">
      <w:pPr>
        <w:jc w:val="left"/>
        <w:rPr>
          <w:rFonts w:ascii="仿宋" w:hAnsi="仿宋" w:eastAsia="仿宋"/>
          <w:sz w:val="32"/>
          <w:szCs w:val="32"/>
          <w:highlight w:val="none"/>
        </w:rPr>
      </w:pPr>
      <w:bookmarkStart w:id="0" w:name="_GoBack"/>
      <w:bookmarkEnd w:id="0"/>
    </w:p>
    <w:p w14:paraId="1B9DA4B3">
      <w:pPr>
        <w:jc w:val="center"/>
        <w:rPr>
          <w:rFonts w:ascii="仿宋" w:hAnsi="仿宋" w:eastAsia="仿宋"/>
          <w:sz w:val="32"/>
          <w:szCs w:val="32"/>
          <w:highlight w:val="none"/>
        </w:rPr>
      </w:pPr>
      <w:r>
        <w:rPr>
          <w:rFonts w:hint="eastAsia" w:ascii="仿宋" w:hAnsi="仿宋" w:eastAsia="仿宋"/>
          <w:b/>
          <w:bCs/>
          <w:sz w:val="32"/>
          <w:szCs w:val="32"/>
          <w:highlight w:val="none"/>
        </w:rPr>
        <w:t>第四部分  预算表格</w:t>
      </w:r>
    </w:p>
    <w:p w14:paraId="0252C055">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年部门预算表套表（预算一体化系统报表查询模块中提取相应数据）</w:t>
      </w:r>
      <w:r>
        <w:rPr>
          <w:rFonts w:hint="eastAsia" w:ascii="仿宋" w:hAnsi="仿宋" w:eastAsia="仿宋"/>
          <w:sz w:val="32"/>
          <w:szCs w:val="32"/>
          <w:highlight w:val="none"/>
          <w:lang w:eastAsia="zh-CN"/>
        </w:rPr>
        <w:t>。</w:t>
      </w:r>
    </w:p>
    <w:p w14:paraId="00E3AD42">
      <w:pPr>
        <w:rPr>
          <w:rFonts w:ascii="仿宋" w:hAnsi="仿宋" w:eastAsia="仿宋"/>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195159"/>
    <w:rsid w:val="034968DF"/>
    <w:rsid w:val="03D7309C"/>
    <w:rsid w:val="03F014FB"/>
    <w:rsid w:val="03F248D4"/>
    <w:rsid w:val="05AE6735"/>
    <w:rsid w:val="05D84E57"/>
    <w:rsid w:val="07C71E05"/>
    <w:rsid w:val="0A0F44B4"/>
    <w:rsid w:val="0A450E4E"/>
    <w:rsid w:val="0A7F599D"/>
    <w:rsid w:val="0AB919FB"/>
    <w:rsid w:val="0B4115AF"/>
    <w:rsid w:val="0C633590"/>
    <w:rsid w:val="0C7C5D37"/>
    <w:rsid w:val="0D0F40E1"/>
    <w:rsid w:val="0E0E4A27"/>
    <w:rsid w:val="0E235FAD"/>
    <w:rsid w:val="0E933B6E"/>
    <w:rsid w:val="0F4C4086"/>
    <w:rsid w:val="10D9450A"/>
    <w:rsid w:val="112B3A0C"/>
    <w:rsid w:val="117169F8"/>
    <w:rsid w:val="11DF6BD5"/>
    <w:rsid w:val="12C62CA4"/>
    <w:rsid w:val="13FA7827"/>
    <w:rsid w:val="15DA5399"/>
    <w:rsid w:val="16A36DBB"/>
    <w:rsid w:val="18266396"/>
    <w:rsid w:val="187E3884"/>
    <w:rsid w:val="18F97B94"/>
    <w:rsid w:val="191A0446"/>
    <w:rsid w:val="1B4A363A"/>
    <w:rsid w:val="1BC526EF"/>
    <w:rsid w:val="1C882350"/>
    <w:rsid w:val="1CDC1A5B"/>
    <w:rsid w:val="1F451F7A"/>
    <w:rsid w:val="20B52042"/>
    <w:rsid w:val="20EF71F1"/>
    <w:rsid w:val="21FE2E7E"/>
    <w:rsid w:val="2323212D"/>
    <w:rsid w:val="23FA4ECF"/>
    <w:rsid w:val="2527010D"/>
    <w:rsid w:val="262C2143"/>
    <w:rsid w:val="26DC2BFA"/>
    <w:rsid w:val="27063D31"/>
    <w:rsid w:val="27742DDB"/>
    <w:rsid w:val="27747EDE"/>
    <w:rsid w:val="277B13CF"/>
    <w:rsid w:val="285B5D80"/>
    <w:rsid w:val="28753BF0"/>
    <w:rsid w:val="28AA47B7"/>
    <w:rsid w:val="28CB641B"/>
    <w:rsid w:val="29207EE3"/>
    <w:rsid w:val="29E90B31"/>
    <w:rsid w:val="2AC832F5"/>
    <w:rsid w:val="2B3E03DE"/>
    <w:rsid w:val="2B561F26"/>
    <w:rsid w:val="2D742D12"/>
    <w:rsid w:val="2E3342C6"/>
    <w:rsid w:val="32D14858"/>
    <w:rsid w:val="332617FD"/>
    <w:rsid w:val="344D4C9B"/>
    <w:rsid w:val="36273D08"/>
    <w:rsid w:val="368F70D3"/>
    <w:rsid w:val="37361A0B"/>
    <w:rsid w:val="38253B59"/>
    <w:rsid w:val="385B501F"/>
    <w:rsid w:val="38DE30B8"/>
    <w:rsid w:val="39284901"/>
    <w:rsid w:val="39AB5825"/>
    <w:rsid w:val="3A482539"/>
    <w:rsid w:val="3A84326C"/>
    <w:rsid w:val="3A915046"/>
    <w:rsid w:val="3C4C15D1"/>
    <w:rsid w:val="3CE440CF"/>
    <w:rsid w:val="3CEA5A8A"/>
    <w:rsid w:val="3D897F97"/>
    <w:rsid w:val="3DA7578C"/>
    <w:rsid w:val="3F597259"/>
    <w:rsid w:val="3F6B774D"/>
    <w:rsid w:val="3FC03C8B"/>
    <w:rsid w:val="40095632"/>
    <w:rsid w:val="430260DD"/>
    <w:rsid w:val="442476FC"/>
    <w:rsid w:val="46345885"/>
    <w:rsid w:val="46B15537"/>
    <w:rsid w:val="46C17DAD"/>
    <w:rsid w:val="46F64D5D"/>
    <w:rsid w:val="47B75973"/>
    <w:rsid w:val="49066BB2"/>
    <w:rsid w:val="49B81F53"/>
    <w:rsid w:val="4AAC7860"/>
    <w:rsid w:val="4CDB40F9"/>
    <w:rsid w:val="4CF125A9"/>
    <w:rsid w:val="4D0265B8"/>
    <w:rsid w:val="4D8021B9"/>
    <w:rsid w:val="4DFF6777"/>
    <w:rsid w:val="4EB752BA"/>
    <w:rsid w:val="4ED6365B"/>
    <w:rsid w:val="4F735000"/>
    <w:rsid w:val="50041643"/>
    <w:rsid w:val="50AD1F26"/>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22BB8"/>
    <w:rsid w:val="5D580A8A"/>
    <w:rsid w:val="5DB8541C"/>
    <w:rsid w:val="5E221344"/>
    <w:rsid w:val="5E32788E"/>
    <w:rsid w:val="5E9E47E2"/>
    <w:rsid w:val="5FB128C2"/>
    <w:rsid w:val="60731B65"/>
    <w:rsid w:val="60D72763"/>
    <w:rsid w:val="61525EF8"/>
    <w:rsid w:val="615F5A3C"/>
    <w:rsid w:val="61722BDF"/>
    <w:rsid w:val="626A0316"/>
    <w:rsid w:val="62B666A5"/>
    <w:rsid w:val="62E15FE9"/>
    <w:rsid w:val="65255B39"/>
    <w:rsid w:val="659C7B1A"/>
    <w:rsid w:val="65E847CC"/>
    <w:rsid w:val="67286561"/>
    <w:rsid w:val="691F508E"/>
    <w:rsid w:val="6A340295"/>
    <w:rsid w:val="6A5666B8"/>
    <w:rsid w:val="6C1C6B25"/>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5F61BD9"/>
    <w:rsid w:val="76C753DE"/>
    <w:rsid w:val="76C775D8"/>
    <w:rsid w:val="77FC6956"/>
    <w:rsid w:val="78F543CA"/>
    <w:rsid w:val="7A64282A"/>
    <w:rsid w:val="7A8D6ADA"/>
    <w:rsid w:val="7AE2097E"/>
    <w:rsid w:val="7B9B5A30"/>
    <w:rsid w:val="7C333AEE"/>
    <w:rsid w:val="7DB366E4"/>
    <w:rsid w:val="7E3B2C6B"/>
    <w:rsid w:val="7E492DA2"/>
    <w:rsid w:val="7E6E62E2"/>
    <w:rsid w:val="7F690CDA"/>
    <w:rsid w:val="7F696FC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4499</Words>
  <Characters>4855</Characters>
  <Lines>22</Lines>
  <Paragraphs>6</Paragraphs>
  <TotalTime>0</TotalTime>
  <ScaleCrop>false</ScaleCrop>
  <LinksUpToDate>false</LinksUpToDate>
  <CharactersWithSpaces>4949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凌楠</cp:lastModifiedBy>
  <dcterms:modified xsi:type="dcterms:W3CDTF">2025-04-02T03:05:55Z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eyJoZGlkIjoiZDNjYjhkNzEzZTNhZTM0YWZkY2U2MmM3ODEyMDk0N2IiLCJ1c2VySWQiOiIxMDYwODgwOTA5In0=</vt:lpwstr>
  </property>
</Properties>
</file>