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9171146">
      <w:pPr>
        <w:jc w:val="center"/>
        <w:rPr>
          <w:rFonts w:hint="eastAsia" w:ascii="黑体" w:hAnsi="黑体" w:eastAsia="黑体"/>
          <w:sz w:val="52"/>
          <w:szCs w:val="52"/>
          <w:lang w:eastAsia="zh-CN"/>
        </w:rPr>
      </w:pPr>
      <w:r>
        <w:rPr>
          <w:rFonts w:hint="eastAsia" w:ascii="黑体" w:hAnsi="黑体" w:eastAsia="黑体"/>
          <w:sz w:val="52"/>
          <w:szCs w:val="52"/>
          <w:lang w:eastAsia="zh-CN"/>
        </w:rPr>
        <w:t>永吉县机关事务服务中心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006E18B7">
      <w:pPr>
        <w:jc w:val="center"/>
        <w:rPr>
          <w:rFonts w:hint="eastAsia" w:ascii="黑体" w:hAnsi="黑体" w:eastAsia="黑体"/>
          <w:sz w:val="52"/>
          <w:szCs w:val="52"/>
          <w:lang w:eastAsia="zh-CN"/>
        </w:rPr>
      </w:pPr>
      <w:r>
        <w:rPr>
          <w:rFonts w:hint="eastAsia" w:ascii="黑体" w:hAnsi="黑体" w:eastAsia="黑体"/>
          <w:sz w:val="52"/>
          <w:szCs w:val="52"/>
          <w:lang w:eastAsia="zh-CN"/>
        </w:rPr>
        <w:t>永吉县机关事务服务中心</w:t>
      </w:r>
    </w:p>
    <w:p w14:paraId="406F54B2">
      <w:pPr>
        <w:jc w:val="center"/>
        <w:rPr>
          <w:rFonts w:ascii="黑体" w:hAnsi="黑体" w:eastAsia="黑体"/>
          <w:sz w:val="44"/>
          <w:szCs w:val="44"/>
        </w:rPr>
      </w:pP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9B282C8">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名称：永吉县机关事务服务中心</w:t>
      </w:r>
    </w:p>
    <w:p w14:paraId="050855C2">
      <w:pPr>
        <w:pStyle w:val="11"/>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422FD8D8">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4340DB1D">
      <w:pPr>
        <w:pStyle w:val="4"/>
        <w:keepNext w:val="0"/>
        <w:keepLines w:val="0"/>
        <w:pageBreakBefore w:val="0"/>
        <w:kinsoku/>
        <w:wordWrap/>
        <w:overflowPunct/>
        <w:topLinePunct w:val="0"/>
        <w:autoSpaceDE/>
        <w:autoSpaceDN/>
        <w:bidi w:val="0"/>
        <w:adjustRightInd/>
        <w:snapToGrid/>
        <w:spacing w:before="0" w:beforeAutospacing="0" w:after="0" w:afterAutospacing="0" w:line="580" w:lineRule="exact"/>
        <w:ind w:firstLine="645"/>
        <w:jc w:val="both"/>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永吉县机关事务服务中心主要承担以下职责：</w:t>
      </w:r>
    </w:p>
    <w:p w14:paraId="247589F0">
      <w:pPr>
        <w:keepNext w:val="0"/>
        <w:keepLines w:val="0"/>
        <w:pageBreakBefore w:val="0"/>
        <w:widowControl/>
        <w:tabs>
          <w:tab w:val="left" w:pos="735"/>
        </w:tabs>
        <w:kinsoku/>
        <w:wordWrap/>
        <w:overflowPunct/>
        <w:topLinePunct w:val="0"/>
        <w:autoSpaceDE/>
        <w:autoSpaceDN/>
        <w:bidi w:val="0"/>
        <w:adjustRightInd/>
        <w:snapToGrid/>
        <w:spacing w:line="580" w:lineRule="exact"/>
        <w:ind w:firstLine="645"/>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（一）贯彻执行国家和省、市有关机关事务工作的方针政策，负责落实全县机关事务服务工作的政策、规定和规章制度并组织实施；落实全县机关后勤体制改革的政策、规划和办法。</w:t>
      </w:r>
    </w:p>
    <w:p w14:paraId="54188159">
      <w:pPr>
        <w:keepNext w:val="0"/>
        <w:keepLines w:val="0"/>
        <w:pageBreakBefore w:val="0"/>
        <w:widowControl/>
        <w:tabs>
          <w:tab w:val="left" w:pos="735"/>
        </w:tabs>
        <w:kinsoku/>
        <w:wordWrap/>
        <w:overflowPunct/>
        <w:topLinePunct w:val="0"/>
        <w:autoSpaceDE/>
        <w:autoSpaceDN/>
        <w:bidi w:val="0"/>
        <w:adjustRightInd/>
        <w:snapToGrid/>
        <w:spacing w:line="580" w:lineRule="exact"/>
        <w:ind w:firstLine="645"/>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（二）负责县直机关、事业单位办公用房及业务用房的权属登记、使用调配和大修维护等工作。</w:t>
      </w:r>
    </w:p>
    <w:p w14:paraId="0E6F9B9C">
      <w:pPr>
        <w:keepNext w:val="0"/>
        <w:keepLines w:val="0"/>
        <w:pageBreakBefore w:val="0"/>
        <w:widowControl/>
        <w:tabs>
          <w:tab w:val="left" w:pos="735"/>
        </w:tabs>
        <w:kinsoku/>
        <w:wordWrap/>
        <w:overflowPunct/>
        <w:topLinePunct w:val="0"/>
        <w:autoSpaceDE/>
        <w:autoSpaceDN/>
        <w:bidi w:val="0"/>
        <w:adjustRightInd/>
        <w:snapToGrid/>
        <w:spacing w:line="580" w:lineRule="exact"/>
        <w:ind w:firstLine="645"/>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（三）负责县直机关事业单位公务用车的编制、配备、更新、处置工作。</w:t>
      </w:r>
    </w:p>
    <w:p w14:paraId="12911AE3">
      <w:pPr>
        <w:keepNext w:val="0"/>
        <w:keepLines w:val="0"/>
        <w:pageBreakBefore w:val="0"/>
        <w:widowControl/>
        <w:tabs>
          <w:tab w:val="left" w:pos="735"/>
        </w:tabs>
        <w:kinsoku/>
        <w:wordWrap/>
        <w:overflowPunct/>
        <w:topLinePunct w:val="0"/>
        <w:autoSpaceDE/>
        <w:autoSpaceDN/>
        <w:bidi w:val="0"/>
        <w:adjustRightInd/>
        <w:snapToGrid/>
        <w:spacing w:line="580" w:lineRule="exact"/>
        <w:ind w:firstLine="645"/>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（四）负责纳入永吉县机关事务服务中心范围内机关及事业单位行政经费、事业经费、重要会议经费的财务帐目管理。</w:t>
      </w:r>
    </w:p>
    <w:p w14:paraId="4D802BC7">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（五）拟定本级公务接待的范围和标准，负责本级公务接待工作。</w:t>
      </w:r>
    </w:p>
    <w:p w14:paraId="6FFFDBBE">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（六）负责县委、县政府办公大楼的安全保卫和消防工作；协调机关驻地的社会综合治理、绿化、爱国卫生、交通安全、环境综合整治等社会事务工作。</w:t>
      </w:r>
    </w:p>
    <w:p w14:paraId="7F722A87">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（七）管理机关在公务活动中按规定上缴的礼品、礼金。</w:t>
      </w:r>
    </w:p>
    <w:p w14:paraId="7411FE77">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（八）加强对全县机关事务服务工作的指导，组织全县机关后勤人员岗位培训。</w:t>
      </w:r>
    </w:p>
    <w:p w14:paraId="01AAEF77">
      <w:pPr>
        <w:pStyle w:val="11"/>
        <w:widowControl/>
        <w:spacing w:line="620" w:lineRule="exact"/>
        <w:ind w:firstLine="627" w:firstLineChars="196"/>
        <w:contextualSpacing/>
        <w:rPr>
          <w:rFonts w:hint="eastAsia"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（九）承办县委、县政府交办的其他事项。</w:t>
      </w:r>
    </w:p>
    <w:p w14:paraId="6D752CA2">
      <w:pPr>
        <w:pStyle w:val="11"/>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6EF764D">
      <w:pPr>
        <w:pStyle w:val="13"/>
        <w:ind w:firstLine="627" w:firstLineChars="196"/>
        <w:rPr>
          <w:rFonts w:hint="eastAsia" w:ascii="仿宋" w:hAnsi="仿宋" w:eastAsia="仿宋"/>
          <w:kern w:val="0"/>
          <w:szCs w:val="32"/>
        </w:rPr>
      </w:pPr>
      <w:r>
        <w:rPr>
          <w:rFonts w:hint="eastAsia" w:ascii="仿宋" w:hAnsi="仿宋" w:eastAsia="仿宋"/>
          <w:kern w:val="0"/>
          <w:szCs w:val="32"/>
        </w:rPr>
        <w:t>机构设置包括：</w:t>
      </w:r>
    </w:p>
    <w:p w14:paraId="15AECC7D">
      <w:pPr>
        <w:spacing w:line="546" w:lineRule="exact"/>
        <w:ind w:firstLine="640" w:firstLineChars="200"/>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根据所承担的工作职责和编制总量，永吉县机关事务服务中心设9个内设机构，即：办公室、 接待科、财务科、后勤科、车辆科、资产科、党务科、安全保卫科、会务保障科。</w:t>
      </w:r>
    </w:p>
    <w:p w14:paraId="48AA0C8B">
      <w:pPr>
        <w:spacing w:line="546" w:lineRule="exact"/>
        <w:ind w:firstLine="640" w:firstLineChars="200"/>
        <w:rPr>
          <w:rFonts w:hint="default" w:ascii="仿宋" w:hAnsi="仿宋" w:eastAsia="仿宋"/>
          <w:kern w:val="0"/>
          <w:szCs w:val="32"/>
          <w:lang w:val="en-US" w:eastAsia="zh-CN"/>
        </w:rPr>
      </w:pPr>
      <w:r>
        <w:rPr>
          <w:rFonts w:hint="default" w:ascii="仿宋" w:hAnsi="仿宋" w:eastAsia="仿宋" w:cs="Times New Roman"/>
          <w:kern w:val="0"/>
          <w:sz w:val="32"/>
          <w:szCs w:val="32"/>
          <w:lang w:val="en-US" w:eastAsia="zh-CN" w:bidi="ar-SA"/>
        </w:rPr>
        <w:t>内设机构职责根据本单位主要职责自行分解。</w:t>
      </w:r>
    </w:p>
    <w:p w14:paraId="16DE2511">
      <w:pPr>
        <w:pStyle w:val="13"/>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28</w:t>
      </w:r>
      <w:r>
        <w:rPr>
          <w:rFonts w:hint="eastAsia" w:ascii="仿宋" w:hAnsi="仿宋" w:eastAsia="仿宋"/>
          <w:kern w:val="0"/>
          <w:szCs w:val="32"/>
        </w:rPr>
        <w:t>人，编制数</w:t>
      </w:r>
      <w:r>
        <w:rPr>
          <w:rFonts w:hint="eastAsia" w:ascii="仿宋" w:hAnsi="仿宋" w:eastAsia="仿宋"/>
          <w:kern w:val="0"/>
          <w:szCs w:val="32"/>
          <w:lang w:val="en-US" w:eastAsia="zh-CN"/>
        </w:rPr>
        <w:t>31</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21192819">
      <w:pPr>
        <w:pStyle w:val="13"/>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72028DA9">
      <w:pPr>
        <w:jc w:val="left"/>
        <w:rPr>
          <w:rFonts w:ascii="仿宋" w:hAnsi="仿宋" w:eastAsia="仿宋"/>
          <w:sz w:val="32"/>
          <w:szCs w:val="32"/>
        </w:rPr>
      </w:pPr>
    </w:p>
    <w:p w14:paraId="0F4E0C83">
      <w:pPr>
        <w:jc w:val="left"/>
        <w:rPr>
          <w:rFonts w:ascii="仿宋" w:hAnsi="仿宋" w:eastAsia="仿宋"/>
          <w:sz w:val="32"/>
          <w:szCs w:val="32"/>
        </w:rPr>
      </w:pPr>
    </w:p>
    <w:p w14:paraId="6CF69DDF">
      <w:pPr>
        <w:jc w:val="left"/>
        <w:rPr>
          <w:rFonts w:ascii="仿宋" w:hAnsi="仿宋" w:eastAsia="仿宋"/>
          <w:sz w:val="32"/>
          <w:szCs w:val="32"/>
        </w:rPr>
      </w:pPr>
    </w:p>
    <w:p w14:paraId="1A0EEE81">
      <w:pPr>
        <w:jc w:val="left"/>
        <w:rPr>
          <w:rFonts w:ascii="仿宋" w:hAnsi="仿宋" w:eastAsia="仿宋"/>
          <w:sz w:val="32"/>
          <w:szCs w:val="32"/>
        </w:rPr>
      </w:pPr>
    </w:p>
    <w:p w14:paraId="2327A84A">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2"/>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1780.26</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1023.43</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756.83</w:t>
      </w:r>
      <w:r>
        <w:rPr>
          <w:rFonts w:hint="eastAsia" w:ascii="仿宋" w:hAnsi="仿宋" w:eastAsia="仿宋"/>
          <w:sz w:val="32"/>
          <w:szCs w:val="32"/>
        </w:rPr>
        <w:t>万元，主要原因：</w:t>
      </w:r>
      <w:r>
        <w:rPr>
          <w:rFonts w:hint="eastAsia" w:ascii="仿宋" w:hAnsi="仿宋" w:eastAsia="仿宋"/>
          <w:sz w:val="32"/>
          <w:szCs w:val="32"/>
          <w:lang w:eastAsia="zh-CN"/>
        </w:rPr>
        <w:t>人员工资及社保费、公积金等基数上调，编外人员支出等</w:t>
      </w:r>
      <w:r>
        <w:rPr>
          <w:rFonts w:hint="eastAsia" w:ascii="仿宋" w:hAnsi="仿宋" w:eastAsia="仿宋"/>
          <w:sz w:val="32"/>
          <w:szCs w:val="32"/>
        </w:rPr>
        <w:t>。</w:t>
      </w:r>
    </w:p>
    <w:p w14:paraId="0594D500">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2"/>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1780.26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1780.26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2"/>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1780.26</w:t>
      </w:r>
      <w:r>
        <w:rPr>
          <w:rFonts w:hint="eastAsia" w:ascii="仿宋" w:hAnsi="仿宋" w:eastAsia="仿宋"/>
          <w:sz w:val="32"/>
          <w:szCs w:val="32"/>
        </w:rPr>
        <w:t>万元，其中：基本支出</w:t>
      </w:r>
      <w:r>
        <w:rPr>
          <w:rFonts w:hint="eastAsia" w:ascii="仿宋" w:hAnsi="仿宋" w:eastAsia="仿宋"/>
          <w:sz w:val="32"/>
          <w:szCs w:val="32"/>
          <w:lang w:val="en-US" w:eastAsia="zh-CN"/>
        </w:rPr>
        <w:t>1327.43</w:t>
      </w:r>
      <w:r>
        <w:rPr>
          <w:rFonts w:hint="eastAsia" w:ascii="仿宋" w:hAnsi="仿宋" w:eastAsia="仿宋"/>
          <w:sz w:val="32"/>
          <w:szCs w:val="32"/>
        </w:rPr>
        <w:t>万元，占</w:t>
      </w:r>
      <w:r>
        <w:rPr>
          <w:rFonts w:hint="eastAsia" w:ascii="仿宋" w:hAnsi="仿宋" w:eastAsia="仿宋"/>
          <w:sz w:val="32"/>
          <w:szCs w:val="32"/>
          <w:lang w:val="en-US" w:eastAsia="zh-CN"/>
        </w:rPr>
        <w:t>74.56</w:t>
      </w:r>
      <w:r>
        <w:rPr>
          <w:rFonts w:hint="eastAsia" w:ascii="仿宋" w:hAnsi="仿宋" w:eastAsia="仿宋"/>
          <w:sz w:val="32"/>
          <w:szCs w:val="32"/>
        </w:rPr>
        <w:t>%；项目支出</w:t>
      </w:r>
      <w:r>
        <w:rPr>
          <w:rFonts w:hint="eastAsia" w:ascii="仿宋" w:hAnsi="仿宋" w:eastAsia="仿宋"/>
          <w:sz w:val="32"/>
          <w:szCs w:val="32"/>
          <w:lang w:val="en-US" w:eastAsia="zh-CN"/>
        </w:rPr>
        <w:t>452.84</w:t>
      </w:r>
      <w:r>
        <w:rPr>
          <w:rFonts w:hint="eastAsia" w:ascii="仿宋" w:hAnsi="仿宋" w:eastAsia="仿宋"/>
          <w:sz w:val="32"/>
          <w:szCs w:val="32"/>
        </w:rPr>
        <w:t>万元，占</w:t>
      </w:r>
      <w:r>
        <w:rPr>
          <w:rFonts w:hint="eastAsia" w:ascii="仿宋" w:hAnsi="仿宋" w:eastAsia="仿宋"/>
          <w:sz w:val="32"/>
          <w:szCs w:val="32"/>
          <w:lang w:val="en-US" w:eastAsia="zh-CN"/>
        </w:rPr>
        <w:t>25.44</w:t>
      </w:r>
      <w:r>
        <w:rPr>
          <w:rFonts w:hint="eastAsia" w:ascii="仿宋" w:hAnsi="仿宋" w:eastAsia="仿宋"/>
          <w:sz w:val="32"/>
          <w:szCs w:val="32"/>
        </w:rPr>
        <w:t>%。</w:t>
      </w:r>
    </w:p>
    <w:p w14:paraId="51040F2B">
      <w:pPr>
        <w:pStyle w:val="12"/>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2"/>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1780.26</w:t>
      </w:r>
      <w:r>
        <w:rPr>
          <w:rFonts w:hint="eastAsia" w:ascii="仿宋" w:hAnsi="仿宋" w:eastAsia="仿宋"/>
          <w:sz w:val="32"/>
          <w:szCs w:val="32"/>
        </w:rPr>
        <w:t>万元，其中：本年收入</w:t>
      </w:r>
      <w:r>
        <w:rPr>
          <w:rFonts w:hint="eastAsia" w:ascii="仿宋" w:hAnsi="仿宋" w:eastAsia="仿宋"/>
          <w:sz w:val="32"/>
          <w:szCs w:val="32"/>
          <w:lang w:val="en-US" w:eastAsia="zh-CN"/>
        </w:rPr>
        <w:t>1780.26</w:t>
      </w:r>
      <w:r>
        <w:rPr>
          <w:rFonts w:hint="eastAsia" w:ascii="仿宋" w:hAnsi="仿宋" w:eastAsia="仿宋"/>
          <w:sz w:val="32"/>
          <w:szCs w:val="32"/>
        </w:rPr>
        <w:t>万元。本年支出</w:t>
      </w:r>
      <w:r>
        <w:rPr>
          <w:rFonts w:hint="eastAsia" w:ascii="仿宋" w:hAnsi="仿宋" w:eastAsia="仿宋"/>
          <w:sz w:val="32"/>
          <w:szCs w:val="32"/>
          <w:lang w:val="en-US" w:eastAsia="zh-CN"/>
        </w:rPr>
        <w:t>1780.26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1274.14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30.16</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23.13</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1780.26</w:t>
      </w:r>
      <w:r>
        <w:rPr>
          <w:rFonts w:hint="eastAsia" w:ascii="仿宋" w:hAnsi="仿宋" w:eastAsia="仿宋"/>
          <w:sz w:val="32"/>
          <w:szCs w:val="32"/>
        </w:rPr>
        <w:t>万元，其中：基本支出</w:t>
      </w:r>
      <w:r>
        <w:rPr>
          <w:rFonts w:hint="eastAsia" w:ascii="仿宋" w:hAnsi="仿宋" w:eastAsia="仿宋"/>
          <w:sz w:val="32"/>
          <w:szCs w:val="32"/>
          <w:lang w:val="en-US" w:eastAsia="zh-CN"/>
        </w:rPr>
        <w:t>1327.43</w:t>
      </w:r>
      <w:r>
        <w:rPr>
          <w:rFonts w:hint="eastAsia" w:ascii="仿宋" w:hAnsi="仿宋" w:eastAsia="仿宋"/>
          <w:sz w:val="32"/>
          <w:szCs w:val="32"/>
        </w:rPr>
        <w:t>万元，占</w:t>
      </w:r>
      <w:r>
        <w:rPr>
          <w:rFonts w:hint="eastAsia" w:ascii="仿宋" w:hAnsi="仿宋" w:eastAsia="仿宋"/>
          <w:sz w:val="32"/>
          <w:szCs w:val="32"/>
          <w:lang w:val="en-US" w:eastAsia="zh-CN"/>
        </w:rPr>
        <w:t>74.56</w:t>
      </w:r>
      <w:r>
        <w:rPr>
          <w:rFonts w:hint="eastAsia" w:ascii="仿宋" w:hAnsi="仿宋" w:eastAsia="仿宋"/>
          <w:sz w:val="32"/>
          <w:szCs w:val="32"/>
        </w:rPr>
        <w:t>%；项目支出</w:t>
      </w:r>
      <w:r>
        <w:rPr>
          <w:rFonts w:hint="eastAsia" w:ascii="仿宋" w:hAnsi="仿宋" w:eastAsia="仿宋"/>
          <w:sz w:val="32"/>
          <w:szCs w:val="32"/>
          <w:lang w:val="en-US" w:eastAsia="zh-CN"/>
        </w:rPr>
        <w:t>452.84</w:t>
      </w:r>
      <w:r>
        <w:rPr>
          <w:rFonts w:hint="eastAsia" w:ascii="仿宋" w:hAnsi="仿宋" w:eastAsia="仿宋"/>
          <w:sz w:val="32"/>
          <w:szCs w:val="32"/>
        </w:rPr>
        <w:t>万元，占</w:t>
      </w:r>
      <w:r>
        <w:rPr>
          <w:rFonts w:hint="eastAsia" w:ascii="仿宋" w:hAnsi="仿宋" w:eastAsia="仿宋"/>
          <w:sz w:val="32"/>
          <w:szCs w:val="32"/>
          <w:lang w:val="en-US" w:eastAsia="zh-CN"/>
        </w:rPr>
        <w:t>25.44</w:t>
      </w:r>
      <w:r>
        <w:rPr>
          <w:rFonts w:hint="eastAsia" w:ascii="仿宋" w:hAnsi="仿宋" w:eastAsia="仿宋"/>
          <w:sz w:val="32"/>
          <w:szCs w:val="32"/>
        </w:rPr>
        <w:t>%。基本支出中，人员经费</w:t>
      </w:r>
      <w:r>
        <w:rPr>
          <w:rFonts w:hint="eastAsia" w:ascii="仿宋" w:hAnsi="仿宋" w:eastAsia="仿宋"/>
          <w:sz w:val="32"/>
          <w:szCs w:val="32"/>
          <w:lang w:val="en-US" w:eastAsia="zh-CN"/>
        </w:rPr>
        <w:t>567.47</w:t>
      </w:r>
      <w:r>
        <w:rPr>
          <w:rFonts w:hint="eastAsia" w:ascii="仿宋" w:hAnsi="仿宋" w:eastAsia="仿宋"/>
          <w:sz w:val="32"/>
          <w:szCs w:val="32"/>
        </w:rPr>
        <w:t>万元，占</w:t>
      </w:r>
      <w:r>
        <w:rPr>
          <w:rFonts w:hint="eastAsia" w:ascii="仿宋" w:hAnsi="仿宋" w:eastAsia="仿宋"/>
          <w:sz w:val="32"/>
          <w:szCs w:val="32"/>
          <w:lang w:val="en-US" w:eastAsia="zh-CN"/>
        </w:rPr>
        <w:t>42.75</w:t>
      </w:r>
      <w:r>
        <w:rPr>
          <w:rFonts w:hint="eastAsia" w:ascii="仿宋" w:hAnsi="仿宋" w:eastAsia="仿宋"/>
          <w:sz w:val="32"/>
          <w:szCs w:val="32"/>
        </w:rPr>
        <w:t>%；公用经费</w:t>
      </w:r>
      <w:r>
        <w:rPr>
          <w:rFonts w:hint="eastAsia" w:ascii="仿宋" w:hAnsi="仿宋" w:eastAsia="仿宋"/>
          <w:sz w:val="32"/>
          <w:szCs w:val="32"/>
          <w:lang w:val="en-US" w:eastAsia="zh-CN"/>
        </w:rPr>
        <w:t>759.96</w:t>
      </w:r>
      <w:r>
        <w:rPr>
          <w:rFonts w:hint="eastAsia" w:ascii="仿宋" w:hAnsi="仿宋" w:eastAsia="仿宋"/>
          <w:sz w:val="32"/>
          <w:szCs w:val="32"/>
        </w:rPr>
        <w:t>万元，占</w:t>
      </w:r>
      <w:r>
        <w:rPr>
          <w:rFonts w:hint="eastAsia" w:ascii="仿宋" w:hAnsi="仿宋" w:eastAsia="仿宋"/>
          <w:sz w:val="32"/>
          <w:szCs w:val="32"/>
          <w:lang w:val="en-US" w:eastAsia="zh-CN"/>
        </w:rPr>
        <w:t>57.25</w:t>
      </w:r>
      <w:r>
        <w:rPr>
          <w:rFonts w:hint="eastAsia" w:ascii="仿宋" w:hAnsi="仿宋" w:eastAsia="仿宋"/>
          <w:sz w:val="32"/>
          <w:szCs w:val="32"/>
        </w:rPr>
        <w:t>%。</w:t>
      </w:r>
    </w:p>
    <w:p w14:paraId="6A13A798">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FF0000"/>
          <w:kern w:val="0"/>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1726.98</w:t>
      </w:r>
      <w:r>
        <w:rPr>
          <w:rFonts w:hint="eastAsia" w:ascii="仿宋" w:hAnsi="仿宋" w:eastAsia="仿宋"/>
          <w:sz w:val="32"/>
          <w:szCs w:val="32"/>
        </w:rPr>
        <w:t>万元，占</w:t>
      </w:r>
      <w:r>
        <w:rPr>
          <w:rFonts w:hint="eastAsia" w:ascii="仿宋" w:hAnsi="仿宋" w:eastAsia="仿宋"/>
          <w:sz w:val="32"/>
          <w:szCs w:val="32"/>
          <w:lang w:val="en-US" w:eastAsia="zh-CN"/>
        </w:rPr>
        <w:t>97.01</w:t>
      </w:r>
      <w:r>
        <w:rPr>
          <w:rFonts w:hint="eastAsia" w:ascii="仿宋" w:hAnsi="仿宋" w:eastAsia="仿宋"/>
          <w:sz w:val="32"/>
          <w:szCs w:val="32"/>
        </w:rPr>
        <w:t>%，主要用于：</w:t>
      </w:r>
      <w:r>
        <w:rPr>
          <w:rFonts w:hint="default" w:ascii="Times New Roman" w:hAnsi="Times New Roman" w:eastAsia="仿宋_GB2312" w:cs="Times New Roman"/>
          <w:color w:val="000000"/>
          <w:kern w:val="0"/>
          <w:sz w:val="32"/>
          <w:szCs w:val="32"/>
        </w:rPr>
        <w:t>县委、县政府办公大楼的安全保卫和消防工作；协调机关驻地的社会综合治理、绿化、爱国卫生、交通安全、环境综合整治等社会事务工作</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本级公务接待工作</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auto"/>
          <w:kern w:val="0"/>
          <w:sz w:val="32"/>
          <w:szCs w:val="32"/>
        </w:rPr>
        <w:t>县直机关、事业单位办公用房及业务用房的使用调配和大修维护等工作</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000000"/>
          <w:kern w:val="0"/>
          <w:sz w:val="32"/>
          <w:szCs w:val="32"/>
        </w:rPr>
        <w:t>承办县委、县政府交办的其他事项。</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30.16</w:t>
      </w:r>
      <w:r>
        <w:rPr>
          <w:rFonts w:hint="eastAsia" w:ascii="仿宋" w:hAnsi="仿宋" w:eastAsia="仿宋"/>
          <w:sz w:val="32"/>
          <w:szCs w:val="32"/>
        </w:rPr>
        <w:t>万元，占</w:t>
      </w:r>
      <w:r>
        <w:rPr>
          <w:rFonts w:hint="eastAsia" w:ascii="仿宋" w:hAnsi="仿宋" w:eastAsia="仿宋"/>
          <w:sz w:val="32"/>
          <w:szCs w:val="32"/>
          <w:lang w:val="en-US" w:eastAsia="zh-CN"/>
        </w:rPr>
        <w:t>1.69</w:t>
      </w:r>
      <w:r>
        <w:rPr>
          <w:rFonts w:hint="eastAsia" w:ascii="仿宋" w:hAnsi="仿宋" w:eastAsia="仿宋"/>
          <w:sz w:val="32"/>
          <w:szCs w:val="32"/>
        </w:rPr>
        <w:t>%，主要用于：</w:t>
      </w:r>
      <w:r>
        <w:rPr>
          <w:rFonts w:hint="eastAsia" w:ascii="仿宋" w:hAnsi="仿宋" w:eastAsia="仿宋"/>
          <w:sz w:val="32"/>
          <w:szCs w:val="32"/>
          <w:lang w:eastAsia="zh-CN"/>
        </w:rPr>
        <w:t>在职人员养老保险支出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23.13</w:t>
      </w:r>
      <w:r>
        <w:rPr>
          <w:rFonts w:hint="eastAsia" w:ascii="仿宋" w:hAnsi="仿宋" w:eastAsia="仿宋"/>
          <w:sz w:val="32"/>
          <w:szCs w:val="32"/>
        </w:rPr>
        <w:t>万元，占</w:t>
      </w:r>
      <w:r>
        <w:rPr>
          <w:rFonts w:hint="eastAsia" w:ascii="仿宋" w:hAnsi="仿宋" w:eastAsia="仿宋"/>
          <w:sz w:val="32"/>
          <w:szCs w:val="32"/>
          <w:lang w:val="en-US" w:eastAsia="zh-CN"/>
        </w:rPr>
        <w:t>1.3</w:t>
      </w:r>
      <w:r>
        <w:rPr>
          <w:rFonts w:hint="eastAsia" w:ascii="仿宋" w:hAnsi="仿宋" w:eastAsia="仿宋"/>
          <w:sz w:val="32"/>
          <w:szCs w:val="32"/>
        </w:rPr>
        <w:t>%，主要用于：</w:t>
      </w:r>
      <w:r>
        <w:rPr>
          <w:rFonts w:hint="eastAsia" w:ascii="仿宋" w:hAnsi="仿宋" w:eastAsia="仿宋"/>
          <w:sz w:val="32"/>
          <w:szCs w:val="32"/>
          <w:lang w:eastAsia="zh-CN"/>
        </w:rPr>
        <w:t>在职人员住房公积金支出</w:t>
      </w:r>
      <w:r>
        <w:rPr>
          <w:rFonts w:hint="eastAsia" w:ascii="仿宋" w:hAnsi="仿宋" w:eastAsia="仿宋"/>
          <w:sz w:val="32"/>
          <w:szCs w:val="32"/>
        </w:rPr>
        <w:t>。</w:t>
      </w:r>
    </w:p>
    <w:p w14:paraId="1D655B29">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1327.43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567.47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759.96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10"/>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10"/>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336.88</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eastAsia="zh-CN"/>
        </w:rPr>
        <w:t>增加</w:t>
      </w:r>
      <w:r>
        <w:rPr>
          <w:rFonts w:hint="eastAsia" w:ascii="仿宋" w:hAnsi="仿宋" w:eastAsia="仿宋"/>
          <w:kern w:val="0"/>
          <w:sz w:val="32"/>
          <w:szCs w:val="32"/>
          <w:lang w:val="en-US" w:eastAsia="zh-CN"/>
        </w:rPr>
        <w:t>25</w:t>
      </w:r>
      <w:r>
        <w:rPr>
          <w:rFonts w:hint="eastAsia" w:ascii="仿宋" w:hAnsi="仿宋" w:eastAsia="仿宋"/>
          <w:kern w:val="0"/>
          <w:sz w:val="32"/>
          <w:szCs w:val="32"/>
        </w:rPr>
        <w:t>万元。其中：</w:t>
      </w:r>
    </w:p>
    <w:p w14:paraId="1319EA80">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40.48</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w:t>
      </w:r>
      <w:r>
        <w:rPr>
          <w:rFonts w:hint="eastAsia" w:ascii="仿宋" w:hAnsi="仿宋" w:eastAsia="仿宋"/>
          <w:kern w:val="0"/>
          <w:sz w:val="32"/>
          <w:szCs w:val="32"/>
          <w:lang w:eastAsia="zh-CN"/>
        </w:rPr>
        <w:t>增加</w:t>
      </w:r>
      <w:r>
        <w:rPr>
          <w:rFonts w:hint="eastAsia" w:ascii="仿宋" w:hAnsi="仿宋" w:eastAsia="仿宋"/>
          <w:kern w:val="0"/>
          <w:sz w:val="32"/>
          <w:szCs w:val="32"/>
          <w:lang w:val="en-US" w:eastAsia="zh-CN"/>
        </w:rPr>
        <w:t>25</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完成</w:t>
      </w:r>
      <w:r>
        <w:rPr>
          <w:rFonts w:hint="default" w:ascii="Times New Roman" w:hAnsi="Times New Roman" w:eastAsia="仿宋_GB2312" w:cs="Times New Roman"/>
          <w:color w:val="000000"/>
          <w:kern w:val="0"/>
          <w:sz w:val="32"/>
          <w:szCs w:val="32"/>
        </w:rPr>
        <w:t>县委、县政府</w:t>
      </w:r>
      <w:r>
        <w:rPr>
          <w:rFonts w:hint="eastAsia" w:eastAsia="仿宋_GB2312" w:cs="Times New Roman"/>
          <w:color w:val="000000"/>
          <w:kern w:val="0"/>
          <w:sz w:val="32"/>
          <w:szCs w:val="32"/>
          <w:lang w:eastAsia="zh-CN"/>
        </w:rPr>
        <w:t>安排的公务接待工作</w:t>
      </w:r>
      <w:r>
        <w:rPr>
          <w:rFonts w:hint="eastAsia" w:ascii="仿宋" w:hAnsi="仿宋" w:eastAsia="仿宋"/>
          <w:kern w:val="0"/>
          <w:sz w:val="32"/>
          <w:szCs w:val="32"/>
        </w:rPr>
        <w:t>。</w:t>
      </w:r>
    </w:p>
    <w:p w14:paraId="7288DF6E">
      <w:pPr>
        <w:pStyle w:val="10"/>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296.4</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296.4</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4D07A280">
      <w:pPr>
        <w:pStyle w:val="10"/>
        <w:ind w:firstLine="640"/>
        <w:rPr>
          <w:rFonts w:hint="eastAsia"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10"/>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9"/>
        <w:ind w:firstLine="64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759.96</w:t>
      </w:r>
      <w:r>
        <w:rPr>
          <w:rFonts w:hint="eastAsia" w:ascii="仿宋" w:hAnsi="仿宋" w:eastAsia="仿宋"/>
          <w:sz w:val="32"/>
          <w:szCs w:val="32"/>
        </w:rPr>
        <w:t>万元，比202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87.18</w:t>
      </w:r>
      <w:r>
        <w:rPr>
          <w:rFonts w:hint="eastAsia" w:ascii="仿宋" w:hAnsi="仿宋" w:eastAsia="仿宋"/>
          <w:sz w:val="32"/>
          <w:szCs w:val="32"/>
        </w:rPr>
        <w:t>万元，增长</w:t>
      </w:r>
      <w:r>
        <w:rPr>
          <w:rFonts w:hint="eastAsia" w:ascii="仿宋" w:hAnsi="仿宋" w:eastAsia="仿宋"/>
          <w:sz w:val="32"/>
          <w:szCs w:val="32"/>
          <w:lang w:val="en-US" w:eastAsia="zh-CN"/>
        </w:rPr>
        <w:t>12.96</w:t>
      </w:r>
      <w:r>
        <w:rPr>
          <w:rFonts w:hint="eastAsia" w:ascii="仿宋" w:hAnsi="仿宋" w:eastAsia="仿宋"/>
          <w:sz w:val="32"/>
          <w:szCs w:val="32"/>
        </w:rPr>
        <w:t>%，主要原因是</w:t>
      </w:r>
      <w:r>
        <w:rPr>
          <w:rFonts w:hint="default" w:ascii="仿宋" w:hAnsi="仿宋" w:eastAsia="仿宋"/>
          <w:sz w:val="32"/>
          <w:szCs w:val="32"/>
        </w:rPr>
        <w:t>县委、县政府办公大楼</w:t>
      </w:r>
      <w:r>
        <w:rPr>
          <w:rFonts w:hint="eastAsia" w:ascii="仿宋" w:hAnsi="仿宋" w:eastAsia="仿宋"/>
          <w:sz w:val="32"/>
          <w:szCs w:val="32"/>
          <w:lang w:eastAsia="zh-CN"/>
        </w:rPr>
        <w:t>等维修维护工作和后勤保障工作。</w:t>
      </w:r>
    </w:p>
    <w:p w14:paraId="1319D386">
      <w:pPr>
        <w:ind w:firstLine="640" w:firstLineChars="200"/>
        <w:jc w:val="left"/>
        <w:rPr>
          <w:rFonts w:hint="eastAsia" w:ascii="楷体" w:hAnsi="楷体" w:eastAsia="楷体"/>
          <w:sz w:val="32"/>
          <w:szCs w:val="32"/>
        </w:rPr>
      </w:pP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86</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86</w:t>
      </w:r>
      <w:bookmarkStart w:id="0" w:name="_GoBack"/>
      <w:bookmarkEnd w:id="0"/>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9"/>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452.84</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570314"/>
    <w:rsid w:val="0A6319DD"/>
    <w:rsid w:val="0A7F599D"/>
    <w:rsid w:val="0B34692D"/>
    <w:rsid w:val="0B4115AF"/>
    <w:rsid w:val="0C633590"/>
    <w:rsid w:val="0C7C5D37"/>
    <w:rsid w:val="0D0F40E1"/>
    <w:rsid w:val="0DA77AD8"/>
    <w:rsid w:val="0E0E4A27"/>
    <w:rsid w:val="0E235FAD"/>
    <w:rsid w:val="0E933B6E"/>
    <w:rsid w:val="0F4C4086"/>
    <w:rsid w:val="10D9450A"/>
    <w:rsid w:val="112B3A0C"/>
    <w:rsid w:val="117169F8"/>
    <w:rsid w:val="11DF6BD5"/>
    <w:rsid w:val="12C62CA4"/>
    <w:rsid w:val="15664034"/>
    <w:rsid w:val="15DA5399"/>
    <w:rsid w:val="187E3884"/>
    <w:rsid w:val="18F97B94"/>
    <w:rsid w:val="191A0446"/>
    <w:rsid w:val="1B4A363A"/>
    <w:rsid w:val="1BC526EF"/>
    <w:rsid w:val="1C2B50C5"/>
    <w:rsid w:val="1C882350"/>
    <w:rsid w:val="1CB11A91"/>
    <w:rsid w:val="1CDC1A5B"/>
    <w:rsid w:val="1D1F566C"/>
    <w:rsid w:val="1F451F7A"/>
    <w:rsid w:val="20EF71F1"/>
    <w:rsid w:val="21FE2E7E"/>
    <w:rsid w:val="2323212D"/>
    <w:rsid w:val="23FA4ECF"/>
    <w:rsid w:val="2527010D"/>
    <w:rsid w:val="25340AC6"/>
    <w:rsid w:val="26DC2BFA"/>
    <w:rsid w:val="26F30799"/>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5576E3F"/>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85B25A6"/>
    <w:rsid w:val="5B5D76B7"/>
    <w:rsid w:val="5B8E44C5"/>
    <w:rsid w:val="5C982767"/>
    <w:rsid w:val="5CD80EBE"/>
    <w:rsid w:val="5CFA751D"/>
    <w:rsid w:val="5D580A8A"/>
    <w:rsid w:val="5DB8541C"/>
    <w:rsid w:val="5E221344"/>
    <w:rsid w:val="5E32788E"/>
    <w:rsid w:val="5F1945EC"/>
    <w:rsid w:val="5FA21118"/>
    <w:rsid w:val="5FB128C2"/>
    <w:rsid w:val="60731B65"/>
    <w:rsid w:val="60D72763"/>
    <w:rsid w:val="61525EF8"/>
    <w:rsid w:val="615F5A3C"/>
    <w:rsid w:val="62B666A5"/>
    <w:rsid w:val="62E15FE9"/>
    <w:rsid w:val="65255B39"/>
    <w:rsid w:val="659C7B1A"/>
    <w:rsid w:val="65E847CC"/>
    <w:rsid w:val="67286561"/>
    <w:rsid w:val="691F508E"/>
    <w:rsid w:val="6A340295"/>
    <w:rsid w:val="6A357D5B"/>
    <w:rsid w:val="6A5666B8"/>
    <w:rsid w:val="6C626D3D"/>
    <w:rsid w:val="6D4948AB"/>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2A5FAB"/>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7">
    <w:name w:val="页眉 字符"/>
    <w:basedOn w:val="6"/>
    <w:link w:val="3"/>
    <w:semiHidden/>
    <w:qFormat/>
    <w:uiPriority w:val="99"/>
    <w:rPr>
      <w:sz w:val="18"/>
      <w:szCs w:val="18"/>
    </w:rPr>
  </w:style>
  <w:style w:type="character" w:customStyle="1" w:styleId="8">
    <w:name w:val="页脚 字符"/>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3110</Words>
  <Characters>3442</Characters>
  <Lines>22</Lines>
  <Paragraphs>6</Paragraphs>
  <TotalTime>9</TotalTime>
  <ScaleCrop>false</ScaleCrop>
  <LinksUpToDate>false</LinksUpToDate>
  <CharactersWithSpaces>3521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2025-04-01T08:29:00Z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eyJoZGlkIjoiYTkzOGZmZmU2MzI1M2ZkN2UzMTVjMTliYjM3NDU1YTEifQ==</vt:lpwstr>
  </property>
</Properties>
</file>