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9667A9">
      <w:pPr>
        <w:jc w:val="center"/>
        <w:rPr>
          <w:rFonts w:ascii="黑体" w:hAnsi="黑体" w:eastAsia="黑体"/>
          <w:sz w:val="44"/>
          <w:szCs w:val="44"/>
        </w:rPr>
      </w:pPr>
    </w:p>
    <w:p w14:paraId="140853D9">
      <w:pPr>
        <w:jc w:val="center"/>
        <w:rPr>
          <w:rFonts w:ascii="黑体" w:hAnsi="黑体" w:eastAsia="黑体"/>
          <w:sz w:val="44"/>
          <w:szCs w:val="44"/>
        </w:rPr>
      </w:pPr>
    </w:p>
    <w:p w14:paraId="6155DA3D">
      <w:pPr>
        <w:jc w:val="center"/>
        <w:rPr>
          <w:rFonts w:ascii="黑体" w:hAnsi="黑体" w:eastAsia="黑体"/>
          <w:sz w:val="44"/>
          <w:szCs w:val="44"/>
        </w:rPr>
      </w:pPr>
    </w:p>
    <w:p w14:paraId="0E316C5A">
      <w:pPr>
        <w:jc w:val="center"/>
        <w:rPr>
          <w:rFonts w:ascii="黑体" w:hAnsi="黑体" w:eastAsia="黑体"/>
          <w:color w:val="000000" w:themeColor="text1"/>
          <w:sz w:val="44"/>
          <w:szCs w:val="44"/>
          <w14:textFill>
            <w14:solidFill>
              <w14:schemeClr w14:val="tx1"/>
            </w14:solidFill>
          </w14:textFill>
        </w:rPr>
      </w:pPr>
    </w:p>
    <w:p w14:paraId="50051232">
      <w:pPr>
        <w:jc w:val="center"/>
        <w:rPr>
          <w:rFonts w:ascii="黑体" w:hAnsi="黑体" w:eastAsia="黑体"/>
          <w:color w:val="000000" w:themeColor="text1"/>
          <w:sz w:val="44"/>
          <w:szCs w:val="44"/>
          <w14:textFill>
            <w14:solidFill>
              <w14:schemeClr w14:val="tx1"/>
            </w14:solidFill>
          </w14:textFill>
        </w:rPr>
      </w:pPr>
    </w:p>
    <w:p w14:paraId="4B5285C6">
      <w:pPr>
        <w:jc w:val="center"/>
        <w:rPr>
          <w:rFonts w:hint="eastAsia" w:ascii="黑体" w:hAnsi="黑体" w:eastAsia="黑体"/>
          <w:color w:val="000000" w:themeColor="text1"/>
          <w:sz w:val="52"/>
          <w:szCs w:val="52"/>
          <w:highlight w:val="none"/>
          <w:lang w:eastAsia="zh-CN"/>
          <w14:textFill>
            <w14:solidFill>
              <w14:schemeClr w14:val="tx1"/>
            </w14:solidFill>
          </w14:textFill>
        </w:rPr>
      </w:pPr>
      <w:r>
        <w:rPr>
          <w:rFonts w:hint="eastAsia" w:ascii="黑体" w:hAnsi="黑体" w:eastAsia="黑体"/>
          <w:color w:val="000000" w:themeColor="text1"/>
          <w:sz w:val="52"/>
          <w:szCs w:val="52"/>
          <w:highlight w:val="none"/>
          <w:lang w:eastAsia="zh-CN"/>
          <w14:textFill>
            <w14:solidFill>
              <w14:schemeClr w14:val="tx1"/>
            </w14:solidFill>
          </w14:textFill>
        </w:rPr>
        <w:t>永吉县疾病预防控制中心</w:t>
      </w:r>
    </w:p>
    <w:p w14:paraId="4ECE7729">
      <w:pPr>
        <w:ind w:firstLine="2080" w:firstLineChars="400"/>
        <w:jc w:val="both"/>
        <w:rPr>
          <w:rFonts w:ascii="黑体" w:hAnsi="黑体" w:eastAsia="黑体"/>
          <w:color w:val="000000" w:themeColor="text1"/>
          <w:sz w:val="52"/>
          <w:szCs w:val="52"/>
          <w:highlight w:val="none"/>
          <w14:textFill>
            <w14:solidFill>
              <w14:schemeClr w14:val="tx1"/>
            </w14:solidFill>
          </w14:textFill>
        </w:rPr>
      </w:pPr>
      <w:r>
        <w:rPr>
          <w:rFonts w:hint="eastAsia" w:ascii="黑体" w:hAnsi="黑体" w:eastAsia="黑体"/>
          <w:color w:val="000000" w:themeColor="text1"/>
          <w:sz w:val="52"/>
          <w:szCs w:val="52"/>
          <w:highlight w:val="none"/>
          <w:lang w:eastAsia="zh-CN"/>
          <w14:textFill>
            <w14:solidFill>
              <w14:schemeClr w14:val="tx1"/>
            </w14:solidFill>
          </w14:textFill>
        </w:rPr>
        <w:t>2025年</w:t>
      </w:r>
      <w:r>
        <w:rPr>
          <w:rFonts w:hint="eastAsia" w:ascii="黑体" w:hAnsi="黑体" w:eastAsia="黑体"/>
          <w:color w:val="000000" w:themeColor="text1"/>
          <w:sz w:val="52"/>
          <w:szCs w:val="52"/>
          <w:highlight w:val="none"/>
          <w14:textFill>
            <w14:solidFill>
              <w14:schemeClr w14:val="tx1"/>
            </w14:solidFill>
          </w14:textFill>
        </w:rPr>
        <w:t>部门预算</w:t>
      </w:r>
    </w:p>
    <w:p w14:paraId="170C83A3">
      <w:pPr>
        <w:jc w:val="center"/>
        <w:rPr>
          <w:rFonts w:ascii="黑体" w:hAnsi="黑体" w:eastAsia="黑体"/>
          <w:color w:val="000000" w:themeColor="text1"/>
          <w:sz w:val="44"/>
          <w:szCs w:val="44"/>
          <w:highlight w:val="none"/>
          <w14:textFill>
            <w14:solidFill>
              <w14:schemeClr w14:val="tx1"/>
            </w14:solidFill>
          </w14:textFill>
        </w:rPr>
      </w:pPr>
    </w:p>
    <w:p w14:paraId="4F0A19E3">
      <w:pPr>
        <w:jc w:val="center"/>
        <w:rPr>
          <w:rFonts w:ascii="黑体" w:hAnsi="黑体" w:eastAsia="黑体"/>
          <w:color w:val="000000" w:themeColor="text1"/>
          <w:sz w:val="44"/>
          <w:szCs w:val="44"/>
          <w:highlight w:val="none"/>
          <w14:textFill>
            <w14:solidFill>
              <w14:schemeClr w14:val="tx1"/>
            </w14:solidFill>
          </w14:textFill>
        </w:rPr>
      </w:pPr>
    </w:p>
    <w:p w14:paraId="752A4356">
      <w:pPr>
        <w:jc w:val="center"/>
        <w:rPr>
          <w:rFonts w:ascii="黑体" w:hAnsi="黑体" w:eastAsia="黑体"/>
          <w:color w:val="000000" w:themeColor="text1"/>
          <w:sz w:val="44"/>
          <w:szCs w:val="44"/>
          <w:highlight w:val="none"/>
          <w14:textFill>
            <w14:solidFill>
              <w14:schemeClr w14:val="tx1"/>
            </w14:solidFill>
          </w14:textFill>
        </w:rPr>
      </w:pPr>
    </w:p>
    <w:p w14:paraId="2CFF1841">
      <w:pPr>
        <w:jc w:val="center"/>
        <w:rPr>
          <w:rFonts w:ascii="黑体" w:hAnsi="黑体" w:eastAsia="黑体"/>
          <w:color w:val="000000" w:themeColor="text1"/>
          <w:sz w:val="44"/>
          <w:szCs w:val="44"/>
          <w:highlight w:val="none"/>
          <w14:textFill>
            <w14:solidFill>
              <w14:schemeClr w14:val="tx1"/>
            </w14:solidFill>
          </w14:textFill>
        </w:rPr>
      </w:pPr>
    </w:p>
    <w:p w14:paraId="70BE75B9">
      <w:pPr>
        <w:jc w:val="center"/>
        <w:rPr>
          <w:rFonts w:ascii="黑体" w:hAnsi="黑体" w:eastAsia="黑体"/>
          <w:color w:val="000000" w:themeColor="text1"/>
          <w:sz w:val="44"/>
          <w:szCs w:val="44"/>
          <w:highlight w:val="none"/>
          <w14:textFill>
            <w14:solidFill>
              <w14:schemeClr w14:val="tx1"/>
            </w14:solidFill>
          </w14:textFill>
        </w:rPr>
      </w:pPr>
    </w:p>
    <w:p w14:paraId="6E16285E">
      <w:pPr>
        <w:jc w:val="center"/>
        <w:rPr>
          <w:rFonts w:ascii="黑体" w:hAnsi="黑体" w:eastAsia="黑体"/>
          <w:color w:val="000000" w:themeColor="text1"/>
          <w:sz w:val="44"/>
          <w:szCs w:val="44"/>
          <w:highlight w:val="none"/>
          <w14:textFill>
            <w14:solidFill>
              <w14:schemeClr w14:val="tx1"/>
            </w14:solidFill>
          </w14:textFill>
        </w:rPr>
      </w:pPr>
    </w:p>
    <w:p w14:paraId="1529FD63">
      <w:pPr>
        <w:jc w:val="center"/>
        <w:rPr>
          <w:rFonts w:ascii="黑体" w:hAnsi="黑体" w:eastAsia="黑体"/>
          <w:color w:val="000000" w:themeColor="text1"/>
          <w:sz w:val="44"/>
          <w:szCs w:val="44"/>
          <w:highlight w:val="none"/>
          <w14:textFill>
            <w14:solidFill>
              <w14:schemeClr w14:val="tx1"/>
            </w14:solidFill>
          </w14:textFill>
        </w:rPr>
      </w:pPr>
    </w:p>
    <w:p w14:paraId="7CDC823F">
      <w:pPr>
        <w:jc w:val="center"/>
        <w:rPr>
          <w:rFonts w:ascii="黑体" w:hAnsi="黑体" w:eastAsia="黑体"/>
          <w:color w:val="000000" w:themeColor="text1"/>
          <w:sz w:val="44"/>
          <w:szCs w:val="44"/>
          <w:highlight w:val="none"/>
          <w14:textFill>
            <w14:solidFill>
              <w14:schemeClr w14:val="tx1"/>
            </w14:solidFill>
          </w14:textFill>
        </w:rPr>
      </w:pPr>
    </w:p>
    <w:p w14:paraId="645491C8">
      <w:pPr>
        <w:jc w:val="center"/>
        <w:rPr>
          <w:rFonts w:ascii="黑体" w:hAnsi="黑体" w:eastAsia="黑体"/>
          <w:color w:val="000000" w:themeColor="text1"/>
          <w:sz w:val="44"/>
          <w:szCs w:val="44"/>
          <w:highlight w:val="none"/>
          <w14:textFill>
            <w14:solidFill>
              <w14:schemeClr w14:val="tx1"/>
            </w14:solidFill>
          </w14:textFill>
        </w:rPr>
      </w:pPr>
    </w:p>
    <w:p w14:paraId="510D3FC1">
      <w:pPr>
        <w:jc w:val="center"/>
        <w:rPr>
          <w:rFonts w:ascii="黑体" w:hAnsi="黑体" w:eastAsia="黑体"/>
          <w:color w:val="000000" w:themeColor="text1"/>
          <w:sz w:val="44"/>
          <w:szCs w:val="44"/>
          <w:highlight w:val="none"/>
          <w14:textFill>
            <w14:solidFill>
              <w14:schemeClr w14:val="tx1"/>
            </w14:solidFill>
          </w14:textFill>
        </w:rPr>
      </w:pPr>
    </w:p>
    <w:p w14:paraId="76ADA9CA">
      <w:pPr>
        <w:jc w:val="center"/>
        <w:rPr>
          <w:rFonts w:ascii="黑体" w:hAnsi="黑体" w:eastAsia="黑体"/>
          <w:sz w:val="44"/>
          <w:szCs w:val="44"/>
          <w:highlight w:val="none"/>
        </w:rPr>
      </w:pPr>
      <w:r>
        <w:rPr>
          <w:rFonts w:hint="eastAsia" w:ascii="黑体" w:hAnsi="黑体" w:eastAsia="黑体"/>
          <w:sz w:val="44"/>
          <w:szCs w:val="44"/>
          <w:highlight w:val="none"/>
        </w:rPr>
        <w:t>二〇二</w:t>
      </w:r>
      <w:r>
        <w:rPr>
          <w:rFonts w:hint="eastAsia" w:ascii="黑体" w:hAnsi="黑体" w:eastAsia="黑体"/>
          <w:sz w:val="44"/>
          <w:szCs w:val="44"/>
          <w:highlight w:val="none"/>
          <w:lang w:eastAsia="zh-CN"/>
        </w:rPr>
        <w:t>五</w:t>
      </w:r>
      <w:r>
        <w:rPr>
          <w:rFonts w:hint="eastAsia" w:ascii="黑体" w:hAnsi="黑体" w:eastAsia="黑体"/>
          <w:sz w:val="44"/>
          <w:szCs w:val="44"/>
          <w:highlight w:val="none"/>
        </w:rPr>
        <w:t>年一月</w:t>
      </w:r>
      <w:r>
        <w:rPr>
          <w:rFonts w:hint="eastAsia" w:ascii="黑体" w:hAnsi="黑体" w:eastAsia="黑体"/>
          <w:sz w:val="44"/>
          <w:szCs w:val="44"/>
          <w:highlight w:val="none"/>
          <w:lang w:eastAsia="zh-CN"/>
        </w:rPr>
        <w:t>三</w:t>
      </w:r>
      <w:r>
        <w:rPr>
          <w:rFonts w:hint="eastAsia" w:ascii="黑体" w:hAnsi="黑体" w:eastAsia="黑体"/>
          <w:sz w:val="44"/>
          <w:szCs w:val="44"/>
          <w:highlight w:val="none"/>
        </w:rPr>
        <w:t>日</w:t>
      </w:r>
    </w:p>
    <w:p w14:paraId="57DC8E87">
      <w:pPr>
        <w:jc w:val="center"/>
        <w:rPr>
          <w:rFonts w:ascii="黑体" w:hAnsi="黑体" w:eastAsia="黑体"/>
          <w:sz w:val="44"/>
          <w:szCs w:val="44"/>
        </w:rPr>
      </w:pPr>
    </w:p>
    <w:p w14:paraId="65E25EAE">
      <w:pPr>
        <w:jc w:val="center"/>
        <w:rPr>
          <w:rFonts w:ascii="黑体" w:hAnsi="黑体" w:eastAsia="黑体"/>
          <w:sz w:val="44"/>
          <w:szCs w:val="44"/>
        </w:rPr>
      </w:pPr>
    </w:p>
    <w:p w14:paraId="06241374">
      <w:pPr>
        <w:jc w:val="both"/>
        <w:rPr>
          <w:rFonts w:hint="eastAsia" w:ascii="黑体" w:hAnsi="黑体" w:eastAsia="黑体"/>
          <w:color w:val="000000" w:themeColor="text1"/>
          <w:sz w:val="52"/>
          <w:szCs w:val="52"/>
          <w:highlight w:val="none"/>
          <w:lang w:eastAsia="zh-CN"/>
          <w14:textFill>
            <w14:solidFill>
              <w14:schemeClr w14:val="tx1"/>
            </w14:solidFill>
          </w14:textFill>
        </w:rPr>
      </w:pPr>
    </w:p>
    <w:p w14:paraId="2D07CED0">
      <w:pPr>
        <w:jc w:val="center"/>
        <w:rPr>
          <w:rFonts w:hint="eastAsia" w:ascii="黑体" w:hAnsi="黑体" w:eastAsia="黑体"/>
          <w:color w:val="000000" w:themeColor="text1"/>
          <w:sz w:val="52"/>
          <w:szCs w:val="52"/>
          <w:highlight w:val="none"/>
          <w:lang w:eastAsia="zh-CN"/>
          <w14:textFill>
            <w14:solidFill>
              <w14:schemeClr w14:val="tx1"/>
            </w14:solidFill>
          </w14:textFill>
        </w:rPr>
      </w:pPr>
      <w:r>
        <w:rPr>
          <w:rFonts w:hint="eastAsia" w:ascii="黑体" w:hAnsi="黑体" w:eastAsia="黑体"/>
          <w:color w:val="000000" w:themeColor="text1"/>
          <w:sz w:val="52"/>
          <w:szCs w:val="52"/>
          <w:highlight w:val="none"/>
          <w:lang w:eastAsia="zh-CN"/>
          <w14:textFill>
            <w14:solidFill>
              <w14:schemeClr w14:val="tx1"/>
            </w14:solidFill>
          </w14:textFill>
        </w:rPr>
        <w:t>永吉县疾病预防控制中心</w:t>
      </w:r>
      <w:r>
        <w:rPr>
          <w:rFonts w:hint="eastAsia" w:ascii="黑体" w:hAnsi="黑体" w:eastAsia="黑体"/>
          <w:color w:val="000000" w:themeColor="text1"/>
          <w:sz w:val="52"/>
          <w:szCs w:val="52"/>
          <w:highlight w:val="none"/>
          <w:lang w:val="en-US" w:eastAsia="zh-CN"/>
          <w14:textFill>
            <w14:solidFill>
              <w14:schemeClr w14:val="tx1"/>
            </w14:solidFill>
          </w14:textFill>
        </w:rPr>
        <w:t>2025年</w:t>
      </w:r>
      <w:r>
        <w:rPr>
          <w:rFonts w:hint="eastAsia" w:ascii="黑体" w:hAnsi="黑体" w:eastAsia="黑体"/>
          <w:color w:val="000000" w:themeColor="text1"/>
          <w:sz w:val="52"/>
          <w:szCs w:val="52"/>
          <w:highlight w:val="none"/>
          <w:lang w:eastAsia="zh-CN"/>
          <w14:textFill>
            <w14:solidFill>
              <w14:schemeClr w14:val="tx1"/>
            </w14:solidFill>
          </w14:textFill>
        </w:rPr>
        <w:t>预算</w:t>
      </w:r>
    </w:p>
    <w:p w14:paraId="60ECCAC6">
      <w:pPr>
        <w:jc w:val="center"/>
        <w:rPr>
          <w:rFonts w:hint="eastAsia" w:ascii="黑体" w:hAnsi="黑体" w:eastAsia="黑体"/>
          <w:color w:val="000000" w:themeColor="text1"/>
          <w:sz w:val="52"/>
          <w:szCs w:val="52"/>
          <w:highlight w:val="none"/>
          <w:lang w:eastAsia="zh-CN"/>
          <w14:textFill>
            <w14:solidFill>
              <w14:schemeClr w14:val="tx1"/>
            </w14:solidFill>
          </w14:textFill>
        </w:rPr>
      </w:pPr>
      <w:r>
        <w:rPr>
          <w:rFonts w:hint="eastAsia" w:ascii="黑体" w:hAnsi="黑体" w:eastAsia="黑体"/>
          <w:color w:val="000000" w:themeColor="text1"/>
          <w:sz w:val="52"/>
          <w:szCs w:val="52"/>
          <w:highlight w:val="none"/>
          <w:lang w:eastAsia="zh-CN"/>
          <w14:textFill>
            <w14:solidFill>
              <w14:schemeClr w14:val="tx1"/>
            </w14:solidFill>
          </w14:textFill>
        </w:rPr>
        <w:t>目  录</w:t>
      </w:r>
    </w:p>
    <w:p w14:paraId="014E5E51">
      <w:pPr>
        <w:jc w:val="center"/>
        <w:rPr>
          <w:rFonts w:hint="eastAsia" w:ascii="黑体" w:hAnsi="黑体" w:eastAsia="黑体"/>
          <w:color w:val="000000" w:themeColor="text1"/>
          <w:sz w:val="52"/>
          <w:szCs w:val="52"/>
          <w:highlight w:val="none"/>
          <w:lang w:eastAsia="zh-CN"/>
          <w14:textFill>
            <w14:solidFill>
              <w14:schemeClr w14:val="tx1"/>
            </w14:solidFill>
          </w14:textFill>
        </w:rPr>
      </w:pPr>
    </w:p>
    <w:p w14:paraId="6400132B">
      <w:pPr>
        <w:rPr>
          <w:rFonts w:ascii="仿宋" w:hAnsi="仿宋" w:eastAsia="仿宋"/>
          <w:sz w:val="32"/>
          <w:szCs w:val="32"/>
        </w:rPr>
      </w:pPr>
      <w:r>
        <w:rPr>
          <w:rFonts w:hint="eastAsia" w:ascii="仿宋" w:hAnsi="仿宋" w:eastAsia="仿宋"/>
          <w:sz w:val="32"/>
          <w:szCs w:val="32"/>
        </w:rPr>
        <w:t>第一部分  部门概况</w:t>
      </w:r>
    </w:p>
    <w:p w14:paraId="185B88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2825BA32">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3861793C">
      <w:pPr>
        <w:rPr>
          <w:rFonts w:ascii="仿宋" w:hAnsi="仿宋" w:eastAsia="仿宋"/>
          <w:sz w:val="32"/>
          <w:szCs w:val="32"/>
        </w:rPr>
      </w:pPr>
      <w:r>
        <w:rPr>
          <w:rFonts w:hint="eastAsia" w:ascii="仿宋" w:hAnsi="仿宋" w:eastAsia="仿宋"/>
          <w:sz w:val="32"/>
          <w:szCs w:val="32"/>
        </w:rPr>
        <w:t>第二部分  情况说明</w:t>
      </w:r>
    </w:p>
    <w:p w14:paraId="1F8D7466">
      <w:pPr>
        <w:rPr>
          <w:rFonts w:ascii="仿宋" w:hAnsi="仿宋" w:eastAsia="仿宋"/>
          <w:sz w:val="32"/>
          <w:szCs w:val="32"/>
        </w:rPr>
      </w:pPr>
      <w:r>
        <w:rPr>
          <w:rFonts w:hint="eastAsia" w:ascii="仿宋" w:hAnsi="仿宋" w:eastAsia="仿宋"/>
          <w:sz w:val="32"/>
          <w:szCs w:val="32"/>
        </w:rPr>
        <w:t xml:space="preserve">第三部分  名词解释 </w:t>
      </w:r>
    </w:p>
    <w:p w14:paraId="5DCFA1E9">
      <w:pPr>
        <w:rPr>
          <w:rFonts w:ascii="仿宋" w:hAnsi="仿宋" w:eastAsia="仿宋"/>
          <w:sz w:val="32"/>
          <w:szCs w:val="32"/>
        </w:rPr>
      </w:pPr>
      <w:r>
        <w:rPr>
          <w:rFonts w:hint="eastAsia" w:ascii="仿宋" w:hAnsi="仿宋" w:eastAsia="仿宋"/>
          <w:sz w:val="32"/>
          <w:szCs w:val="32"/>
        </w:rPr>
        <w:t>第四部分  预算表格</w:t>
      </w:r>
    </w:p>
    <w:p w14:paraId="3FBEE59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1B7082E7">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0E5786F0">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7ACC4EB0">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80C12C6">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1AE94CF1">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6312A0B7">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51FF96A0">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45053024">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8BDC8F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0DAF5AD1">
      <w:pPr>
        <w:pStyle w:val="8"/>
        <w:widowControl w:val="0"/>
        <w:numPr>
          <w:numId w:val="0"/>
        </w:numPr>
        <w:jc w:val="both"/>
        <w:rPr>
          <w:rFonts w:hint="eastAsia" w:ascii="仿宋" w:hAnsi="仿宋" w:eastAsia="仿宋"/>
          <w:sz w:val="32"/>
          <w:szCs w:val="32"/>
        </w:rPr>
      </w:pPr>
    </w:p>
    <w:p w14:paraId="3FE06161">
      <w:pPr>
        <w:pStyle w:val="8"/>
        <w:widowControl w:val="0"/>
        <w:numPr>
          <w:numId w:val="0"/>
        </w:numPr>
        <w:jc w:val="both"/>
        <w:rPr>
          <w:rFonts w:hint="eastAsia" w:ascii="仿宋" w:hAnsi="仿宋" w:eastAsia="仿宋"/>
          <w:sz w:val="32"/>
          <w:szCs w:val="32"/>
        </w:rPr>
      </w:pPr>
    </w:p>
    <w:p w14:paraId="03875A58">
      <w:pPr>
        <w:jc w:val="center"/>
        <w:rPr>
          <w:rFonts w:hint="eastAsia" w:ascii="黑体" w:hAnsi="黑体" w:eastAsia="黑体"/>
          <w:sz w:val="32"/>
          <w:szCs w:val="32"/>
        </w:rPr>
      </w:pPr>
      <w:r>
        <w:rPr>
          <w:rFonts w:hint="eastAsia" w:ascii="黑体" w:hAnsi="黑体" w:eastAsia="黑体"/>
          <w:sz w:val="32"/>
          <w:szCs w:val="32"/>
        </w:rPr>
        <w:t>第一部分    部门（单位）概况</w:t>
      </w:r>
    </w:p>
    <w:p w14:paraId="55698BBB">
      <w:pPr>
        <w:ind w:firstLine="640" w:firstLineChars="200"/>
        <w:jc w:val="left"/>
        <w:rPr>
          <w:rFonts w:ascii="仿宋" w:hAnsi="仿宋" w:eastAsia="仿宋"/>
          <w:sz w:val="32"/>
          <w:szCs w:val="32"/>
        </w:rPr>
      </w:pPr>
      <w:r>
        <w:rPr>
          <w:rFonts w:hint="eastAsia" w:ascii="仿宋" w:hAnsi="仿宋" w:eastAsia="仿宋"/>
          <w:sz w:val="32"/>
          <w:szCs w:val="32"/>
        </w:rPr>
        <w:t>一、主要职能</w:t>
      </w:r>
    </w:p>
    <w:p w14:paraId="4D225F99">
      <w:pPr>
        <w:pStyle w:val="10"/>
        <w:widowControl/>
        <w:spacing w:line="620" w:lineRule="exact"/>
        <w:ind w:firstLine="627" w:firstLineChars="196"/>
        <w:contextualSpacing/>
        <w:rPr>
          <w:rFonts w:hint="eastAsia" w:ascii="仿宋" w:hAnsi="仿宋" w:eastAsia="仿宋"/>
          <w:bCs/>
          <w:sz w:val="32"/>
          <w:szCs w:val="32"/>
        </w:rPr>
      </w:pPr>
      <w:r>
        <w:rPr>
          <w:rFonts w:hint="eastAsia" w:ascii="仿宋" w:hAnsi="仿宋" w:eastAsia="仿宋"/>
          <w:bCs/>
          <w:sz w:val="32"/>
          <w:szCs w:val="32"/>
        </w:rPr>
        <w:t>单位名称：永吉县疾病预防控制中心</w:t>
      </w:r>
    </w:p>
    <w:p w14:paraId="3ABA422E">
      <w:pPr>
        <w:pStyle w:val="10"/>
        <w:widowControl/>
        <w:spacing w:line="620" w:lineRule="exact"/>
        <w:ind w:firstLine="627" w:firstLineChars="196"/>
        <w:contextualSpacing/>
        <w:rPr>
          <w:rFonts w:hint="eastAsia" w:ascii="仿宋" w:hAnsi="仿宋" w:eastAsia="仿宋"/>
          <w:bCs/>
          <w:sz w:val="32"/>
          <w:szCs w:val="32"/>
        </w:rPr>
      </w:pPr>
      <w:r>
        <w:rPr>
          <w:rFonts w:hint="eastAsia" w:ascii="仿宋" w:hAnsi="仿宋" w:eastAsia="仿宋"/>
          <w:bCs/>
          <w:sz w:val="32"/>
          <w:szCs w:val="32"/>
        </w:rPr>
        <w:t>单位性质：全额拨款、公益一类</w:t>
      </w:r>
    </w:p>
    <w:p w14:paraId="365CC371">
      <w:pPr>
        <w:pStyle w:val="10"/>
        <w:widowControl/>
        <w:spacing w:line="620" w:lineRule="exact"/>
        <w:ind w:firstLine="627" w:firstLineChars="196"/>
        <w:contextualSpacing/>
        <w:rPr>
          <w:rFonts w:hint="eastAsia" w:ascii="仿宋" w:hAnsi="仿宋" w:eastAsia="仿宋"/>
          <w:bCs/>
          <w:sz w:val="32"/>
          <w:szCs w:val="32"/>
        </w:rPr>
      </w:pPr>
      <w:r>
        <w:rPr>
          <w:rFonts w:hint="eastAsia" w:ascii="仿宋" w:hAnsi="仿宋" w:eastAsia="仿宋"/>
          <w:bCs/>
          <w:sz w:val="32"/>
          <w:szCs w:val="32"/>
        </w:rPr>
        <w:t>主要职能：</w:t>
      </w:r>
      <w:r>
        <w:rPr>
          <w:rFonts w:hint="eastAsia" w:ascii="仿宋" w:hAnsi="仿宋" w:eastAsia="仿宋"/>
          <w:bCs/>
          <w:sz w:val="32"/>
          <w:szCs w:val="32"/>
          <w:lang w:val="en-US" w:eastAsia="zh-CN"/>
        </w:rPr>
        <w:t xml:space="preserve"> </w:t>
      </w:r>
      <w:r>
        <w:rPr>
          <w:rFonts w:hint="eastAsia" w:ascii="仿宋" w:hAnsi="仿宋" w:eastAsia="仿宋"/>
          <w:bCs/>
          <w:sz w:val="32"/>
          <w:szCs w:val="32"/>
        </w:rPr>
        <w:t>负责辖区内突发公共卫生事件监测调查与信息收集、报告；卫生监督执法等。</w:t>
      </w:r>
    </w:p>
    <w:p w14:paraId="2D05C1E5">
      <w:pPr>
        <w:pStyle w:val="10"/>
        <w:widowControl/>
        <w:spacing w:line="620" w:lineRule="exact"/>
        <w:ind w:firstLine="627" w:firstLineChars="196"/>
        <w:contextualSpacing/>
        <w:rPr>
          <w:rFonts w:hint="eastAsia" w:ascii="仿宋" w:hAnsi="仿宋" w:eastAsia="仿宋"/>
          <w:bCs/>
          <w:sz w:val="32"/>
          <w:szCs w:val="32"/>
        </w:rPr>
      </w:pPr>
      <w:r>
        <w:rPr>
          <w:rFonts w:hint="eastAsia" w:ascii="仿宋" w:hAnsi="仿宋" w:eastAsia="仿宋"/>
          <w:bCs/>
          <w:sz w:val="32"/>
          <w:szCs w:val="32"/>
        </w:rPr>
        <w:t>主要业务：成上级下达的疾病预防控制任务，负责辖区内疾病预防控制具体工作的管理和落实；负责辖区内疫苗使用管理，组织实施免疫、消毒、控制病媒生物的危害。</w:t>
      </w:r>
    </w:p>
    <w:p w14:paraId="0DA2E934">
      <w:pPr>
        <w:pStyle w:val="10"/>
        <w:widowControl/>
        <w:spacing w:line="620" w:lineRule="exact"/>
        <w:ind w:firstLine="627" w:firstLineChars="196"/>
        <w:contextualSpacing/>
        <w:rPr>
          <w:rFonts w:hint="eastAsia" w:ascii="仿宋" w:hAnsi="仿宋" w:eastAsia="仿宋"/>
          <w:bCs/>
          <w:sz w:val="32"/>
          <w:szCs w:val="32"/>
        </w:rPr>
      </w:pPr>
      <w:r>
        <w:rPr>
          <w:rFonts w:hint="eastAsia" w:ascii="仿宋" w:hAnsi="仿宋" w:eastAsia="仿宋"/>
          <w:bCs/>
          <w:sz w:val="32"/>
          <w:szCs w:val="32"/>
        </w:rPr>
        <w:t>二、机构设置</w:t>
      </w:r>
    </w:p>
    <w:p w14:paraId="26B91303">
      <w:pPr>
        <w:pStyle w:val="10"/>
        <w:widowControl/>
        <w:spacing w:line="620" w:lineRule="exact"/>
        <w:ind w:firstLine="627" w:firstLineChars="196"/>
        <w:contextualSpacing/>
        <w:rPr>
          <w:rFonts w:hint="eastAsia" w:ascii="仿宋" w:hAnsi="仿宋" w:eastAsia="仿宋"/>
          <w:bCs/>
          <w:sz w:val="32"/>
          <w:szCs w:val="32"/>
        </w:rPr>
      </w:pPr>
      <w:r>
        <w:rPr>
          <w:rFonts w:hint="eastAsia" w:ascii="仿宋" w:hAnsi="仿宋" w:eastAsia="仿宋"/>
          <w:bCs/>
          <w:sz w:val="32"/>
          <w:szCs w:val="32"/>
        </w:rPr>
        <w:t>机构设置包括：传染病预防控制科、计划免疫规划科、艾滋病性病防治科、慢性病与精神障碍防治科、地方病防治科、健康教育科、食品与营养科、检验科，行使疾病预防控制职能。</w:t>
      </w:r>
    </w:p>
    <w:p w14:paraId="17923622">
      <w:pPr>
        <w:pStyle w:val="10"/>
        <w:widowControl/>
        <w:spacing w:line="620" w:lineRule="exact"/>
        <w:ind w:firstLine="627" w:firstLineChars="196"/>
        <w:contextualSpacing/>
        <w:rPr>
          <w:rFonts w:hint="eastAsia" w:ascii="仿宋" w:hAnsi="仿宋" w:eastAsia="仿宋"/>
          <w:bCs/>
          <w:sz w:val="32"/>
          <w:szCs w:val="32"/>
        </w:rPr>
      </w:pPr>
      <w:r>
        <w:rPr>
          <w:rFonts w:hint="eastAsia" w:ascii="仿宋" w:hAnsi="仿宋" w:eastAsia="仿宋"/>
          <w:bCs/>
          <w:sz w:val="32"/>
          <w:szCs w:val="32"/>
        </w:rPr>
        <w:t>卫生监督所科室包括：医疗市场卫生监督科、公共场所卫生监督科、职业放射卫生监督科、学校卫生监督科、水质卫生监督科、稽查法规科、计划生育卫生监督科，行使全县卫生监督职能。</w:t>
      </w:r>
    </w:p>
    <w:p w14:paraId="1E9AC9B7">
      <w:pPr>
        <w:ind w:firstLine="640" w:firstLineChars="200"/>
        <w:rPr>
          <w:rFonts w:ascii="仿宋_GB2312" w:eastAsia="仿宋_GB2312"/>
          <w:color w:val="000000" w:themeColor="text1"/>
          <w:sz w:val="32"/>
          <w:szCs w:val="32"/>
          <w14:textFill>
            <w14:solidFill>
              <w14:schemeClr w14:val="tx1"/>
            </w14:solidFill>
          </w14:textFill>
        </w:rPr>
      </w:pPr>
    </w:p>
    <w:p w14:paraId="709CCAD7">
      <w:pPr>
        <w:ind w:firstLine="640" w:firstLineChars="200"/>
        <w:rPr>
          <w:rFonts w:hint="eastAsia" w:ascii="仿宋_GB2312" w:eastAsia="仿宋_GB2312"/>
          <w:color w:val="000000" w:themeColor="text1"/>
          <w:sz w:val="32"/>
          <w:szCs w:val="32"/>
          <w14:textFill>
            <w14:solidFill>
              <w14:schemeClr w14:val="tx1"/>
            </w14:solidFill>
          </w14:textFill>
        </w:rPr>
      </w:pPr>
    </w:p>
    <w:p w14:paraId="074EB072">
      <w:pPr>
        <w:ind w:firstLine="640" w:firstLineChars="200"/>
        <w:rPr>
          <w:rFonts w:hint="eastAsia" w:ascii="仿宋_GB2312" w:eastAsia="仿宋_GB2312"/>
          <w:color w:val="000000" w:themeColor="text1"/>
          <w:sz w:val="32"/>
          <w:szCs w:val="32"/>
          <w14:textFill>
            <w14:solidFill>
              <w14:schemeClr w14:val="tx1"/>
            </w14:solidFill>
          </w14:textFill>
        </w:rPr>
      </w:pPr>
    </w:p>
    <w:p w14:paraId="35F5313A">
      <w:pPr>
        <w:jc w:val="both"/>
        <w:rPr>
          <w:rFonts w:hint="eastAsia" w:ascii="黑体" w:hAnsi="黑体" w:eastAsia="黑体"/>
          <w:sz w:val="32"/>
          <w:szCs w:val="32"/>
        </w:rPr>
      </w:pPr>
    </w:p>
    <w:p w14:paraId="18A862D1">
      <w:pPr>
        <w:jc w:val="center"/>
        <w:rPr>
          <w:rFonts w:hint="eastAsia" w:ascii="黑体" w:hAnsi="黑体" w:eastAsia="黑体"/>
          <w:sz w:val="32"/>
          <w:szCs w:val="32"/>
        </w:rPr>
      </w:pPr>
    </w:p>
    <w:p w14:paraId="42D35506">
      <w:pPr>
        <w:jc w:val="center"/>
        <w:rPr>
          <w:rFonts w:hint="eastAsia" w:ascii="黑体" w:hAnsi="黑体" w:eastAsia="黑体"/>
          <w:sz w:val="32"/>
          <w:szCs w:val="32"/>
        </w:rPr>
      </w:pPr>
      <w:r>
        <w:rPr>
          <w:rFonts w:hint="eastAsia" w:ascii="黑体" w:hAnsi="黑体" w:eastAsia="黑体"/>
          <w:sz w:val="32"/>
          <w:szCs w:val="32"/>
        </w:rPr>
        <w:t>第二部分  情况说明</w:t>
      </w:r>
    </w:p>
    <w:p w14:paraId="20022328">
      <w:pPr>
        <w:jc w:val="left"/>
        <w:rPr>
          <w:rFonts w:ascii="仿宋" w:hAnsi="仿宋" w:eastAsia="仿宋"/>
          <w:sz w:val="32"/>
          <w:szCs w:val="32"/>
        </w:rPr>
      </w:pPr>
      <w:r>
        <w:rPr>
          <w:rFonts w:hint="eastAsia" w:ascii="仿宋" w:hAnsi="仿宋" w:eastAsia="仿宋"/>
          <w:sz w:val="32"/>
          <w:szCs w:val="32"/>
        </w:rPr>
        <w:t xml:space="preserve"> </w:t>
      </w:r>
    </w:p>
    <w:p w14:paraId="6C3068BF">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w:t>
      </w:r>
      <w:r>
        <w:rPr>
          <w:rFonts w:hint="eastAsia" w:ascii="楷体" w:hAnsi="楷体" w:eastAsia="楷体"/>
          <w:sz w:val="32"/>
          <w:szCs w:val="32"/>
          <w:lang w:eastAsia="zh-CN"/>
        </w:rPr>
        <w:t>2025年</w:t>
      </w:r>
      <w:r>
        <w:rPr>
          <w:rFonts w:hint="eastAsia" w:ascii="楷体" w:hAnsi="楷体" w:eastAsia="楷体"/>
          <w:sz w:val="32"/>
          <w:szCs w:val="32"/>
        </w:rPr>
        <w:t>收支预算总体情况</w:t>
      </w:r>
    </w:p>
    <w:p w14:paraId="21AC8D03">
      <w:pPr>
        <w:pStyle w:val="11"/>
        <w:ind w:firstLine="640" w:firstLineChars="200"/>
        <w:jc w:val="left"/>
        <w:rPr>
          <w:rFonts w:hint="eastAsia" w:ascii="仿宋" w:hAnsi="仿宋" w:eastAsia="仿宋" w:cs="Times New Roman"/>
          <w:bCs/>
          <w:kern w:val="2"/>
          <w:sz w:val="32"/>
          <w:szCs w:val="32"/>
          <w:lang w:val="en-US" w:eastAsia="zh-CN" w:bidi="ar-SA"/>
        </w:rPr>
      </w:pPr>
      <w:r>
        <w:rPr>
          <w:rFonts w:hint="eastAsia" w:ascii="仿宋" w:hAnsi="仿宋" w:eastAsia="仿宋" w:cs="Times New Roman"/>
          <w:bCs/>
          <w:kern w:val="2"/>
          <w:sz w:val="32"/>
          <w:szCs w:val="32"/>
          <w:lang w:val="en-US" w:eastAsia="zh-CN" w:bidi="ar-SA"/>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2025年收支总预算 678.81万元，比 2024年预算数698.86万元减少 20.05万元，主要原因：人员正常变动，工资减少。</w:t>
      </w:r>
    </w:p>
    <w:p w14:paraId="1152F786">
      <w:pPr>
        <w:pStyle w:val="11"/>
        <w:jc w:val="left"/>
        <w:rPr>
          <w:rFonts w:hint="eastAsia" w:ascii="楷体" w:hAnsi="楷体" w:eastAsia="楷体" w:cstheme="minorBidi"/>
          <w:kern w:val="2"/>
          <w:sz w:val="32"/>
          <w:szCs w:val="32"/>
          <w:lang w:val="en-US" w:eastAsia="zh-CN" w:bidi="ar-SA"/>
        </w:rPr>
      </w:pPr>
      <w:r>
        <w:rPr>
          <w:rFonts w:hint="eastAsia" w:ascii="仿宋" w:hAnsi="仿宋" w:eastAsia="仿宋"/>
          <w:sz w:val="32"/>
          <w:szCs w:val="32"/>
        </w:rPr>
        <w:t xml:space="preserve"> </w:t>
      </w:r>
      <w:r>
        <w:rPr>
          <w:rFonts w:hint="eastAsia" w:ascii="仿宋" w:hAnsi="仿宋" w:eastAsia="仿宋" w:cstheme="minorBidi"/>
          <w:kern w:val="2"/>
          <w:sz w:val="32"/>
          <w:szCs w:val="32"/>
          <w:lang w:val="en-US" w:eastAsia="zh-CN" w:bidi="ar-SA"/>
        </w:rPr>
        <w:t xml:space="preserve">  </w:t>
      </w:r>
      <w:r>
        <w:rPr>
          <w:rFonts w:hint="eastAsia" w:ascii="楷体" w:hAnsi="楷体" w:eastAsia="楷体" w:cstheme="minorBidi"/>
          <w:kern w:val="2"/>
          <w:sz w:val="32"/>
          <w:szCs w:val="32"/>
          <w:lang w:val="en-US" w:eastAsia="zh-CN" w:bidi="ar-SA"/>
        </w:rPr>
        <w:t xml:space="preserve"> 二、2025年收入预算情况</w:t>
      </w:r>
    </w:p>
    <w:p w14:paraId="246721E4">
      <w:pPr>
        <w:pStyle w:val="11"/>
        <w:ind w:firstLine="640" w:firstLineChars="200"/>
        <w:jc w:val="left"/>
        <w:rPr>
          <w:rFonts w:hint="eastAsia" w:ascii="仿宋" w:hAnsi="仿宋" w:eastAsia="仿宋" w:cs="Times New Roman"/>
          <w:bCs/>
          <w:kern w:val="2"/>
          <w:sz w:val="36"/>
          <w:szCs w:val="36"/>
          <w:lang w:val="en-US" w:eastAsia="zh-CN" w:bidi="ar-SA"/>
        </w:rPr>
      </w:pPr>
      <w:r>
        <w:rPr>
          <w:rFonts w:hint="eastAsia" w:ascii="仿宋" w:hAnsi="仿宋" w:eastAsia="仿宋" w:cs="Times New Roman"/>
          <w:bCs/>
          <w:kern w:val="2"/>
          <w:sz w:val="32"/>
          <w:szCs w:val="32"/>
          <w:lang w:val="en-US" w:eastAsia="zh-CN" w:bidi="ar-SA"/>
        </w:rPr>
        <w:t>2025年本单位收入预算 678.81万元，其中：一般公共预算收入678.81万元，占100%。</w:t>
      </w:r>
    </w:p>
    <w:p w14:paraId="6E1C4985">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w:t>
      </w:r>
      <w:r>
        <w:rPr>
          <w:rFonts w:hint="eastAsia" w:ascii="楷体" w:hAnsi="楷体" w:eastAsia="楷体"/>
          <w:sz w:val="32"/>
          <w:szCs w:val="32"/>
          <w:lang w:eastAsia="zh-CN"/>
        </w:rPr>
        <w:t>2025年</w:t>
      </w:r>
      <w:r>
        <w:rPr>
          <w:rFonts w:hint="eastAsia" w:ascii="楷体" w:hAnsi="楷体" w:eastAsia="楷体"/>
          <w:sz w:val="32"/>
          <w:szCs w:val="32"/>
        </w:rPr>
        <w:t>支出预算情况</w:t>
      </w:r>
    </w:p>
    <w:p w14:paraId="5C5F8373">
      <w:pPr>
        <w:pStyle w:val="11"/>
        <w:ind w:firstLine="640" w:firstLineChars="200"/>
        <w:rPr>
          <w:rFonts w:ascii="仿宋" w:hAnsi="仿宋" w:eastAsia="仿宋"/>
          <w:sz w:val="32"/>
          <w:szCs w:val="32"/>
        </w:rPr>
      </w:pPr>
      <w:r>
        <w:rPr>
          <w:rFonts w:hint="eastAsia" w:ascii="仿宋" w:hAnsi="仿宋" w:eastAsia="仿宋"/>
          <w:sz w:val="32"/>
          <w:szCs w:val="32"/>
          <w:lang w:eastAsia="zh-CN"/>
        </w:rPr>
        <w:t>2025年</w:t>
      </w:r>
      <w:r>
        <w:rPr>
          <w:rFonts w:hint="eastAsia" w:ascii="仿宋" w:hAnsi="仿宋" w:eastAsia="仿宋"/>
          <w:sz w:val="32"/>
          <w:szCs w:val="32"/>
        </w:rPr>
        <w:t>支出预算</w:t>
      </w:r>
      <w:r>
        <w:rPr>
          <w:rFonts w:hint="eastAsia" w:ascii="仿宋" w:hAnsi="仿宋" w:eastAsia="仿宋"/>
          <w:sz w:val="32"/>
          <w:szCs w:val="32"/>
          <w:lang w:eastAsia="zh-CN"/>
        </w:rPr>
        <w:t>678.81</w:t>
      </w:r>
      <w:r>
        <w:rPr>
          <w:rFonts w:hint="eastAsia" w:ascii="仿宋" w:hAnsi="仿宋" w:eastAsia="仿宋"/>
          <w:sz w:val="32"/>
          <w:szCs w:val="32"/>
        </w:rPr>
        <w:t>万元，其中：基本支出</w:t>
      </w:r>
      <w:r>
        <w:rPr>
          <w:rFonts w:hint="eastAsia" w:ascii="仿宋" w:hAnsi="仿宋" w:eastAsia="仿宋"/>
          <w:sz w:val="32"/>
          <w:szCs w:val="32"/>
          <w:lang w:eastAsia="zh-CN"/>
        </w:rPr>
        <w:t>678.81</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w:t>
      </w:r>
    </w:p>
    <w:p w14:paraId="28FE7370">
      <w:pPr>
        <w:pStyle w:val="11"/>
        <w:ind w:firstLine="640" w:firstLineChars="200"/>
        <w:jc w:val="left"/>
        <w:rPr>
          <w:rFonts w:ascii="楷体" w:hAnsi="楷体" w:eastAsia="楷体"/>
          <w:sz w:val="32"/>
          <w:szCs w:val="32"/>
        </w:rPr>
      </w:pPr>
      <w:r>
        <w:rPr>
          <w:rFonts w:hint="eastAsia" w:ascii="楷体" w:hAnsi="楷体" w:eastAsia="楷体"/>
          <w:sz w:val="32"/>
          <w:szCs w:val="32"/>
        </w:rPr>
        <w:t>四、</w:t>
      </w:r>
      <w:r>
        <w:rPr>
          <w:rFonts w:hint="eastAsia" w:ascii="楷体" w:hAnsi="楷体" w:eastAsia="楷体"/>
          <w:sz w:val="32"/>
          <w:szCs w:val="32"/>
          <w:lang w:eastAsia="zh-CN"/>
        </w:rPr>
        <w:t>2025年</w:t>
      </w:r>
      <w:r>
        <w:rPr>
          <w:rFonts w:hint="eastAsia" w:ascii="楷体" w:hAnsi="楷体" w:eastAsia="楷体"/>
          <w:sz w:val="32"/>
          <w:szCs w:val="32"/>
        </w:rPr>
        <w:t>财政拨款收支预算情况</w:t>
      </w:r>
    </w:p>
    <w:p w14:paraId="402D4A23">
      <w:pPr>
        <w:pStyle w:val="11"/>
        <w:ind w:firstLine="640" w:firstLineChars="200"/>
        <w:rPr>
          <w:rFonts w:ascii="仿宋" w:hAnsi="仿宋" w:eastAsia="仿宋"/>
          <w:color w:val="auto"/>
          <w:sz w:val="32"/>
          <w:szCs w:val="32"/>
        </w:rPr>
      </w:pPr>
      <w:r>
        <w:rPr>
          <w:rFonts w:hint="eastAsia" w:ascii="仿宋" w:hAnsi="仿宋" w:eastAsia="仿宋"/>
          <w:color w:val="auto"/>
          <w:sz w:val="32"/>
          <w:szCs w:val="32"/>
          <w:lang w:eastAsia="zh-CN"/>
        </w:rPr>
        <w:t>2025年</w:t>
      </w:r>
      <w:r>
        <w:rPr>
          <w:rFonts w:hint="eastAsia" w:ascii="仿宋" w:hAnsi="仿宋" w:eastAsia="仿宋"/>
          <w:color w:val="auto"/>
          <w:sz w:val="32"/>
          <w:szCs w:val="32"/>
        </w:rPr>
        <w:t>财政拨款收支总预算</w:t>
      </w:r>
      <w:r>
        <w:rPr>
          <w:rFonts w:hint="eastAsia" w:ascii="仿宋" w:hAnsi="仿宋" w:eastAsia="仿宋"/>
          <w:sz w:val="32"/>
          <w:szCs w:val="32"/>
          <w:lang w:eastAsia="zh-CN"/>
        </w:rPr>
        <w:t>678.81</w:t>
      </w:r>
      <w:r>
        <w:rPr>
          <w:rFonts w:hint="eastAsia" w:ascii="仿宋" w:hAnsi="仿宋" w:eastAsia="仿宋"/>
          <w:color w:val="auto"/>
          <w:sz w:val="32"/>
          <w:szCs w:val="32"/>
        </w:rPr>
        <w:t>万元，其中：本年收入</w:t>
      </w:r>
      <w:r>
        <w:rPr>
          <w:rFonts w:hint="eastAsia" w:ascii="仿宋" w:hAnsi="仿宋" w:eastAsia="仿宋"/>
          <w:sz w:val="32"/>
          <w:szCs w:val="32"/>
          <w:lang w:eastAsia="zh-CN"/>
        </w:rPr>
        <w:t>678.81</w:t>
      </w:r>
      <w:r>
        <w:rPr>
          <w:rFonts w:hint="eastAsia" w:ascii="仿宋" w:hAnsi="仿宋" w:eastAsia="仿宋"/>
          <w:color w:val="auto"/>
          <w:sz w:val="32"/>
          <w:szCs w:val="32"/>
        </w:rPr>
        <w:t>万元。本年支出</w:t>
      </w:r>
      <w:r>
        <w:rPr>
          <w:rFonts w:hint="eastAsia" w:ascii="仿宋" w:hAnsi="仿宋" w:eastAsia="仿宋"/>
          <w:sz w:val="32"/>
          <w:szCs w:val="32"/>
          <w:lang w:eastAsia="zh-CN"/>
        </w:rPr>
        <w:t>678.81</w:t>
      </w:r>
      <w:r>
        <w:rPr>
          <w:rFonts w:hint="eastAsia" w:ascii="仿宋" w:hAnsi="仿宋" w:eastAsia="仿宋"/>
          <w:color w:val="auto"/>
          <w:sz w:val="32"/>
          <w:szCs w:val="32"/>
        </w:rPr>
        <w:t>万元，支出包括：工资福利支出</w:t>
      </w:r>
      <w:r>
        <w:rPr>
          <w:rFonts w:hint="eastAsia" w:ascii="仿宋" w:hAnsi="仿宋" w:eastAsia="仿宋"/>
          <w:color w:val="auto"/>
          <w:sz w:val="32"/>
          <w:szCs w:val="32"/>
          <w:lang w:val="en-US" w:eastAsia="zh-CN"/>
        </w:rPr>
        <w:t>588.24</w:t>
      </w:r>
      <w:r>
        <w:rPr>
          <w:rFonts w:hint="eastAsia" w:ascii="仿宋" w:hAnsi="仿宋" w:eastAsia="仿宋"/>
          <w:color w:val="auto"/>
          <w:sz w:val="32"/>
          <w:szCs w:val="32"/>
        </w:rPr>
        <w:t xml:space="preserve"> 万元，对个人和家庭的补助支出</w:t>
      </w:r>
      <w:r>
        <w:rPr>
          <w:rFonts w:hint="eastAsia" w:ascii="仿宋" w:hAnsi="仿宋" w:eastAsia="仿宋"/>
          <w:color w:val="auto"/>
          <w:sz w:val="32"/>
          <w:szCs w:val="32"/>
          <w:lang w:val="en-US" w:eastAsia="zh-CN"/>
        </w:rPr>
        <w:t>14.13</w:t>
      </w:r>
      <w:r>
        <w:rPr>
          <w:rFonts w:hint="eastAsia" w:ascii="仿宋" w:hAnsi="仿宋" w:eastAsia="仿宋"/>
          <w:color w:val="auto"/>
          <w:sz w:val="32"/>
          <w:szCs w:val="32"/>
        </w:rPr>
        <w:t>万元，公用经费</w:t>
      </w:r>
      <w:r>
        <w:rPr>
          <w:rFonts w:hint="eastAsia" w:ascii="仿宋" w:hAnsi="仿宋" w:eastAsia="仿宋"/>
          <w:color w:val="auto"/>
          <w:sz w:val="32"/>
          <w:szCs w:val="32"/>
          <w:lang w:val="en-US" w:eastAsia="zh-CN"/>
        </w:rPr>
        <w:t>74.45</w:t>
      </w:r>
      <w:r>
        <w:rPr>
          <w:rFonts w:hint="eastAsia" w:ascii="仿宋" w:hAnsi="仿宋" w:eastAsia="仿宋"/>
          <w:color w:val="auto"/>
          <w:sz w:val="32"/>
          <w:szCs w:val="32"/>
        </w:rPr>
        <w:t>万元。</w:t>
      </w:r>
    </w:p>
    <w:p w14:paraId="1D4735C7">
      <w:pPr>
        <w:pStyle w:val="11"/>
        <w:rPr>
          <w:rFonts w:ascii="楷体" w:hAnsi="楷体" w:eastAsia="楷体"/>
          <w:color w:val="auto"/>
          <w:sz w:val="32"/>
          <w:szCs w:val="32"/>
        </w:rPr>
      </w:pPr>
      <w:r>
        <w:rPr>
          <w:rFonts w:hint="eastAsia" w:ascii="仿宋" w:hAnsi="仿宋" w:eastAsia="仿宋"/>
          <w:kern w:val="0"/>
          <w:sz w:val="32"/>
          <w:szCs w:val="32"/>
        </w:rPr>
        <w:t xml:space="preserve">   </w:t>
      </w:r>
      <w:r>
        <w:rPr>
          <w:rFonts w:hint="eastAsia" w:ascii="楷体" w:hAnsi="楷体" w:eastAsia="楷体"/>
          <w:sz w:val="32"/>
          <w:szCs w:val="32"/>
          <w:lang w:val="en-US" w:eastAsia="zh-CN"/>
        </w:rPr>
        <w:t xml:space="preserve"> 五、2025年一般公共预算支出情况</w:t>
      </w:r>
    </w:p>
    <w:p w14:paraId="39CC15FC">
      <w:pPr>
        <w:ind w:firstLine="640" w:firstLineChars="200"/>
        <w:rPr>
          <w:rFonts w:ascii="仿宋" w:hAnsi="仿宋" w:eastAsia="仿宋"/>
          <w:sz w:val="32"/>
          <w:szCs w:val="32"/>
        </w:rPr>
      </w:pPr>
      <w:r>
        <w:rPr>
          <w:rFonts w:hint="eastAsia" w:ascii="仿宋" w:hAnsi="仿宋" w:eastAsia="仿宋"/>
          <w:color w:val="auto"/>
          <w:sz w:val="32"/>
          <w:szCs w:val="32"/>
          <w:lang w:eastAsia="zh-CN"/>
        </w:rPr>
        <w:t>2025年</w:t>
      </w:r>
      <w:r>
        <w:rPr>
          <w:rFonts w:hint="eastAsia" w:ascii="仿宋" w:hAnsi="仿宋" w:eastAsia="仿宋"/>
          <w:color w:val="auto"/>
          <w:sz w:val="32"/>
          <w:szCs w:val="32"/>
        </w:rPr>
        <w:t>一般公共预算当年拨款</w:t>
      </w:r>
      <w:r>
        <w:rPr>
          <w:rFonts w:hint="eastAsia" w:ascii="仿宋" w:hAnsi="仿宋" w:eastAsia="仿宋"/>
          <w:sz w:val="32"/>
          <w:szCs w:val="32"/>
          <w:lang w:eastAsia="zh-CN"/>
        </w:rPr>
        <w:t>678.81</w:t>
      </w:r>
      <w:r>
        <w:rPr>
          <w:rFonts w:hint="eastAsia" w:ascii="仿宋" w:hAnsi="仿宋" w:eastAsia="仿宋"/>
          <w:color w:val="auto"/>
          <w:sz w:val="32"/>
          <w:szCs w:val="32"/>
        </w:rPr>
        <w:t>万元，其中：基本支出</w:t>
      </w:r>
      <w:r>
        <w:rPr>
          <w:rFonts w:hint="eastAsia" w:ascii="仿宋" w:hAnsi="仿宋" w:eastAsia="仿宋"/>
          <w:sz w:val="32"/>
          <w:szCs w:val="32"/>
          <w:lang w:eastAsia="zh-CN"/>
        </w:rPr>
        <w:t>678.81</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100</w:t>
      </w:r>
      <w:r>
        <w:rPr>
          <w:rFonts w:hint="eastAsia" w:ascii="仿宋" w:hAnsi="仿宋" w:eastAsia="仿宋"/>
          <w:color w:val="auto"/>
          <w:sz w:val="32"/>
          <w:szCs w:val="32"/>
        </w:rPr>
        <w:t>%；</w:t>
      </w:r>
    </w:p>
    <w:p w14:paraId="36D115D7">
      <w:pPr>
        <w:pStyle w:val="9"/>
        <w:rPr>
          <w:rFonts w:hint="eastAsia" w:ascii="楷体" w:hAnsi="楷体" w:eastAsia="楷体" w:cs="Times New Roman"/>
          <w:kern w:val="2"/>
          <w:sz w:val="32"/>
          <w:szCs w:val="32"/>
          <w:lang w:val="en-US" w:eastAsia="zh-CN" w:bidi="ar-SA"/>
        </w:rPr>
      </w:pPr>
      <w:r>
        <w:rPr>
          <w:rFonts w:hint="eastAsia" w:ascii="楷体" w:hAnsi="楷体" w:eastAsia="楷体" w:cs="Times New Roman"/>
          <w:kern w:val="2"/>
          <w:sz w:val="32"/>
          <w:szCs w:val="32"/>
          <w:lang w:val="en-US" w:eastAsia="zh-CN" w:bidi="ar-SA"/>
        </w:rPr>
        <w:t xml:space="preserve">  </w:t>
      </w:r>
      <w:r>
        <w:rPr>
          <w:rFonts w:hint="eastAsia" w:ascii="楷体" w:hAnsi="楷体" w:eastAsia="楷体" w:cs="Times New Roman"/>
          <w:kern w:val="2"/>
          <w:sz w:val="32"/>
          <w:szCs w:val="32"/>
          <w:lang w:val="en-US" w:eastAsia="zh-CN" w:bidi="ar-SA"/>
        </w:rPr>
        <w:t xml:space="preserve"> 六、2025年一般公共预算基本支出情况</w:t>
      </w:r>
    </w:p>
    <w:p w14:paraId="5A96456E">
      <w:pPr>
        <w:pStyle w:val="9"/>
        <w:ind w:firstLine="640" w:firstLineChars="200"/>
        <w:rPr>
          <w:rFonts w:hint="eastAsia" w:ascii="仿宋" w:hAnsi="仿宋" w:eastAsia="仿宋"/>
          <w:sz w:val="32"/>
          <w:szCs w:val="32"/>
        </w:rPr>
      </w:pPr>
      <w:r>
        <w:rPr>
          <w:rFonts w:hint="eastAsia" w:ascii="仿宋" w:hAnsi="仿宋" w:eastAsia="仿宋"/>
          <w:sz w:val="32"/>
          <w:szCs w:val="32"/>
          <w:lang w:eastAsia="zh-CN"/>
        </w:rPr>
        <w:t>2025年</w:t>
      </w:r>
      <w:r>
        <w:rPr>
          <w:rFonts w:hint="eastAsia" w:ascii="仿宋" w:hAnsi="仿宋" w:eastAsia="仿宋"/>
          <w:sz w:val="32"/>
          <w:szCs w:val="32"/>
        </w:rPr>
        <w:t xml:space="preserve">一般公共预算基本支出 </w:t>
      </w:r>
      <w:r>
        <w:rPr>
          <w:rFonts w:hint="eastAsia" w:ascii="仿宋" w:hAnsi="仿宋" w:eastAsia="仿宋"/>
          <w:sz w:val="32"/>
          <w:szCs w:val="32"/>
          <w:lang w:eastAsia="zh-CN"/>
        </w:rPr>
        <w:t>678.81</w:t>
      </w:r>
      <w:r>
        <w:rPr>
          <w:rFonts w:hint="eastAsia" w:ascii="仿宋" w:hAnsi="仿宋" w:eastAsia="仿宋"/>
          <w:sz w:val="32"/>
          <w:szCs w:val="32"/>
        </w:rPr>
        <w:t>万元，其中：</w:t>
      </w:r>
    </w:p>
    <w:p w14:paraId="4EF0A17B">
      <w:pPr>
        <w:pStyle w:val="9"/>
        <w:ind w:firstLine="640" w:firstLineChars="200"/>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人员经费588.24 万元，主要包括：基本工资、津贴补贴、奖金、绩效工资、机关事业单位基本养老保险缴费、职工基本医疗保险缴费、其他社会保障缴费、住房公积金、其他工资福利支出、离退休费、生活补助、其他对个人和家庭补助支出等。</w:t>
      </w:r>
    </w:p>
    <w:p w14:paraId="2F9B8321">
      <w:pPr>
        <w:pStyle w:val="9"/>
        <w:ind w:firstLine="627" w:firstLineChars="196"/>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公用经费74.45 万元，主要包括：办公费、印刷费、水费、电费、邮电费、取暖费、差旅费、会议费、公务接待费、工会经费、公务用车运行维护费等。</w:t>
      </w:r>
    </w:p>
    <w:p w14:paraId="5C11518A">
      <w:pPr>
        <w:pStyle w:val="9"/>
        <w:ind w:firstLine="640" w:firstLineChars="200"/>
        <w:rPr>
          <w:rFonts w:ascii="楷体" w:hAnsi="楷体" w:eastAsia="楷体"/>
          <w:kern w:val="0"/>
          <w:sz w:val="32"/>
          <w:szCs w:val="32"/>
        </w:rPr>
      </w:pPr>
      <w:r>
        <w:rPr>
          <w:rFonts w:hint="eastAsia" w:ascii="楷体" w:hAnsi="楷体" w:eastAsia="楷体"/>
          <w:kern w:val="0"/>
          <w:sz w:val="32"/>
          <w:szCs w:val="32"/>
        </w:rPr>
        <w:t>七、</w:t>
      </w:r>
      <w:r>
        <w:rPr>
          <w:rFonts w:hint="eastAsia" w:ascii="楷体" w:hAnsi="楷体" w:eastAsia="楷体"/>
          <w:kern w:val="0"/>
          <w:sz w:val="32"/>
          <w:szCs w:val="32"/>
          <w:lang w:eastAsia="zh-CN"/>
        </w:rPr>
        <w:t>2025年</w:t>
      </w:r>
      <w:r>
        <w:rPr>
          <w:rFonts w:hint="eastAsia" w:ascii="楷体" w:hAnsi="楷体" w:eastAsia="楷体"/>
          <w:kern w:val="0"/>
          <w:sz w:val="32"/>
          <w:szCs w:val="32"/>
        </w:rPr>
        <w:t>一般公共预算财政拨款“三公经费”情况</w:t>
      </w:r>
    </w:p>
    <w:p w14:paraId="17515497">
      <w:pPr>
        <w:pStyle w:val="9"/>
        <w:ind w:firstLine="627" w:firstLineChars="196"/>
        <w:rPr>
          <w:rFonts w:ascii="仿宋" w:hAnsi="仿宋" w:eastAsia="仿宋"/>
          <w:kern w:val="0"/>
          <w:sz w:val="32"/>
          <w:szCs w:val="32"/>
        </w:rPr>
      </w:pPr>
      <w:r>
        <w:rPr>
          <w:rFonts w:hint="eastAsia" w:ascii="仿宋" w:hAnsi="仿宋" w:eastAsia="仿宋"/>
          <w:kern w:val="0"/>
          <w:sz w:val="32"/>
          <w:szCs w:val="32"/>
          <w:lang w:eastAsia="zh-CN"/>
        </w:rPr>
        <w:t>2025年</w:t>
      </w:r>
      <w:r>
        <w:rPr>
          <w:rFonts w:hint="eastAsia" w:ascii="仿宋" w:hAnsi="仿宋" w:eastAsia="仿宋"/>
          <w:kern w:val="0"/>
          <w:sz w:val="32"/>
          <w:szCs w:val="32"/>
        </w:rPr>
        <w:t>“三公”经费预算数26.</w:t>
      </w:r>
      <w:r>
        <w:rPr>
          <w:rFonts w:hint="eastAsia" w:ascii="仿宋" w:hAnsi="仿宋" w:eastAsia="仿宋"/>
          <w:kern w:val="0"/>
          <w:sz w:val="32"/>
          <w:szCs w:val="32"/>
          <w:lang w:val="en-US" w:eastAsia="zh-CN"/>
        </w:rPr>
        <w:t>86</w:t>
      </w:r>
      <w:r>
        <w:rPr>
          <w:rFonts w:hint="eastAsia" w:ascii="仿宋" w:hAnsi="仿宋" w:eastAsia="仿宋"/>
          <w:kern w:val="0"/>
          <w:sz w:val="32"/>
          <w:szCs w:val="32"/>
        </w:rPr>
        <w:t xml:space="preserve"> 万元，比</w:t>
      </w:r>
      <w:r>
        <w:rPr>
          <w:rFonts w:hint="eastAsia" w:ascii="仿宋" w:hAnsi="仿宋" w:eastAsia="仿宋"/>
          <w:kern w:val="0"/>
          <w:sz w:val="32"/>
          <w:szCs w:val="32"/>
          <w:lang w:eastAsia="zh-CN"/>
        </w:rPr>
        <w:t>2024年</w:t>
      </w:r>
      <w:r>
        <w:rPr>
          <w:rFonts w:hint="eastAsia" w:ascii="仿宋" w:hAnsi="仿宋" w:eastAsia="仿宋"/>
          <w:kern w:val="0"/>
          <w:sz w:val="32"/>
          <w:szCs w:val="32"/>
        </w:rPr>
        <w:t>预算</w:t>
      </w:r>
      <w:r>
        <w:rPr>
          <w:rFonts w:hint="eastAsia" w:ascii="仿宋" w:hAnsi="仿宋" w:eastAsia="仿宋"/>
          <w:kern w:val="0"/>
          <w:sz w:val="32"/>
          <w:szCs w:val="32"/>
          <w:lang w:eastAsia="zh-CN"/>
        </w:rPr>
        <w:t>持平</w:t>
      </w:r>
      <w:r>
        <w:rPr>
          <w:rFonts w:hint="eastAsia" w:ascii="仿宋" w:hAnsi="仿宋" w:eastAsia="仿宋"/>
          <w:kern w:val="0"/>
          <w:sz w:val="32"/>
          <w:szCs w:val="32"/>
        </w:rPr>
        <w:t>。其中：</w:t>
      </w:r>
    </w:p>
    <w:p w14:paraId="0AE9F8AA">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1.因公出国（境）费 0 万元，与 </w:t>
      </w:r>
      <w:r>
        <w:rPr>
          <w:rFonts w:hint="eastAsia" w:ascii="仿宋" w:hAnsi="仿宋" w:eastAsia="仿宋"/>
          <w:kern w:val="0"/>
          <w:sz w:val="32"/>
          <w:szCs w:val="32"/>
          <w:lang w:eastAsia="zh-CN"/>
        </w:rPr>
        <w:t>2024年</w:t>
      </w:r>
      <w:r>
        <w:rPr>
          <w:rFonts w:hint="eastAsia" w:ascii="仿宋" w:hAnsi="仿宋" w:eastAsia="仿宋"/>
          <w:kern w:val="0"/>
          <w:sz w:val="32"/>
          <w:szCs w:val="32"/>
        </w:rPr>
        <w:t>预算数相同。</w:t>
      </w:r>
    </w:p>
    <w:p w14:paraId="44AD06E1">
      <w:pPr>
        <w:pStyle w:val="9"/>
        <w:ind w:firstLine="627" w:firstLineChars="196"/>
        <w:rPr>
          <w:rFonts w:hint="default" w:ascii="仿宋" w:hAnsi="仿宋" w:eastAsia="仿宋"/>
          <w:kern w:val="0"/>
          <w:sz w:val="32"/>
          <w:szCs w:val="32"/>
          <w:lang w:val="en-US" w:eastAsia="zh-CN"/>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0.7655</w:t>
      </w:r>
      <w:r>
        <w:rPr>
          <w:rFonts w:hint="eastAsia" w:ascii="仿宋" w:hAnsi="仿宋" w:eastAsia="仿宋"/>
          <w:kern w:val="0"/>
          <w:sz w:val="32"/>
          <w:szCs w:val="32"/>
        </w:rPr>
        <w:t>万元，</w:t>
      </w:r>
      <w:r>
        <w:rPr>
          <w:rFonts w:hint="eastAsia" w:ascii="仿宋" w:hAnsi="仿宋" w:eastAsia="仿宋"/>
          <w:kern w:val="0"/>
          <w:sz w:val="32"/>
          <w:szCs w:val="32"/>
          <w:lang w:eastAsia="zh-CN"/>
        </w:rPr>
        <w:t>与</w:t>
      </w:r>
      <w:r>
        <w:rPr>
          <w:rFonts w:hint="eastAsia" w:ascii="仿宋" w:hAnsi="仿宋" w:eastAsia="仿宋"/>
          <w:kern w:val="0"/>
          <w:sz w:val="32"/>
          <w:szCs w:val="32"/>
          <w:lang w:val="en-US" w:eastAsia="zh-CN"/>
        </w:rPr>
        <w:t>2024年持平。</w:t>
      </w:r>
    </w:p>
    <w:p w14:paraId="1721A215">
      <w:pPr>
        <w:pStyle w:val="9"/>
        <w:ind w:firstLine="640" w:firstLineChars="200"/>
        <w:rPr>
          <w:rFonts w:hint="eastAsia" w:ascii="仿宋" w:hAnsi="仿宋" w:eastAsia="仿宋"/>
          <w:color w:val="auto"/>
          <w:kern w:val="0"/>
          <w:sz w:val="32"/>
          <w:szCs w:val="32"/>
        </w:rPr>
      </w:pPr>
      <w:r>
        <w:rPr>
          <w:rFonts w:hint="eastAsia" w:ascii="仿宋" w:hAnsi="仿宋" w:eastAsia="仿宋"/>
          <w:kern w:val="0"/>
          <w:sz w:val="32"/>
          <w:szCs w:val="32"/>
        </w:rPr>
        <w:t>3.</w:t>
      </w:r>
      <w:r>
        <w:rPr>
          <w:rFonts w:hint="eastAsia" w:ascii="仿宋" w:hAnsi="仿宋" w:eastAsia="仿宋"/>
          <w:color w:val="auto"/>
          <w:kern w:val="0"/>
          <w:sz w:val="32"/>
          <w:szCs w:val="32"/>
        </w:rPr>
        <w:t>公务用车购置及运行费</w:t>
      </w:r>
      <w:r>
        <w:rPr>
          <w:rFonts w:hint="eastAsia" w:ascii="仿宋" w:hAnsi="仿宋" w:eastAsia="仿宋"/>
          <w:color w:val="auto"/>
          <w:kern w:val="0"/>
          <w:sz w:val="32"/>
          <w:szCs w:val="32"/>
          <w:lang w:val="en-US" w:eastAsia="zh-CN"/>
        </w:rPr>
        <w:t>26.1</w:t>
      </w:r>
      <w:r>
        <w:rPr>
          <w:rFonts w:hint="eastAsia" w:ascii="仿宋" w:hAnsi="仿宋" w:eastAsia="仿宋"/>
          <w:color w:val="auto"/>
          <w:kern w:val="0"/>
          <w:sz w:val="32"/>
          <w:szCs w:val="32"/>
        </w:rPr>
        <w:t xml:space="preserve">万元，与 </w:t>
      </w:r>
      <w:r>
        <w:rPr>
          <w:rFonts w:hint="eastAsia" w:ascii="仿宋" w:hAnsi="仿宋" w:eastAsia="仿宋"/>
          <w:color w:val="auto"/>
          <w:kern w:val="0"/>
          <w:sz w:val="32"/>
          <w:szCs w:val="32"/>
          <w:lang w:eastAsia="zh-CN"/>
        </w:rPr>
        <w:t>2024年</w:t>
      </w:r>
      <w:r>
        <w:rPr>
          <w:rFonts w:hint="eastAsia" w:ascii="仿宋" w:hAnsi="仿宋" w:eastAsia="仿宋"/>
          <w:color w:val="auto"/>
          <w:kern w:val="0"/>
          <w:sz w:val="32"/>
          <w:szCs w:val="32"/>
        </w:rPr>
        <w:t>预算数相同。</w:t>
      </w:r>
    </w:p>
    <w:p w14:paraId="60353E9A">
      <w:pPr>
        <w:pStyle w:val="9"/>
        <w:ind w:firstLine="320" w:firstLineChars="100"/>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4910B16C">
      <w:pPr>
        <w:ind w:firstLine="640" w:firstLineChars="200"/>
        <w:jc w:val="left"/>
        <w:rPr>
          <w:rFonts w:hint="eastAsia" w:ascii="仿宋" w:hAnsi="仿宋" w:eastAsia="仿宋"/>
          <w:sz w:val="32"/>
          <w:szCs w:val="32"/>
          <w:lang w:eastAsia="zh-CN"/>
        </w:rPr>
      </w:pPr>
      <w:r>
        <w:rPr>
          <w:rFonts w:hint="eastAsia" w:ascii="仿宋" w:hAnsi="仿宋" w:eastAsia="仿宋"/>
          <w:sz w:val="32"/>
          <w:szCs w:val="32"/>
          <w:lang w:val="en-US" w:eastAsia="zh-CN"/>
        </w:rPr>
        <w:t>2025年</w:t>
      </w:r>
      <w:r>
        <w:rPr>
          <w:rFonts w:hint="eastAsia" w:ascii="仿宋" w:hAnsi="仿宋" w:eastAsia="仿宋"/>
          <w:sz w:val="32"/>
          <w:szCs w:val="32"/>
        </w:rPr>
        <w:t>本单位无政府性基金预算支出</w:t>
      </w:r>
      <w:r>
        <w:rPr>
          <w:rFonts w:hint="eastAsia" w:ascii="仿宋" w:hAnsi="仿宋" w:eastAsia="仿宋"/>
          <w:sz w:val="32"/>
          <w:szCs w:val="32"/>
          <w:lang w:eastAsia="zh-CN"/>
        </w:rPr>
        <w:t>。</w:t>
      </w:r>
    </w:p>
    <w:p w14:paraId="51B92945">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1B12DD03">
      <w:pPr>
        <w:ind w:firstLine="640" w:firstLineChars="200"/>
        <w:jc w:val="left"/>
        <w:rPr>
          <w:rFonts w:hint="eastAsia"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14:paraId="516F22D6">
      <w:pPr>
        <w:ind w:firstLine="640" w:firstLineChars="200"/>
        <w:jc w:val="left"/>
        <w:rPr>
          <w:rFonts w:hint="eastAsia" w:ascii="仿宋" w:hAnsi="仿宋" w:eastAsia="仿宋"/>
          <w:sz w:val="32"/>
          <w:szCs w:val="32"/>
        </w:rPr>
      </w:pPr>
    </w:p>
    <w:p w14:paraId="01C0BC9B">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61707BBD">
      <w:pPr>
        <w:ind w:firstLine="640" w:firstLineChars="200"/>
        <w:jc w:val="left"/>
        <w:rPr>
          <w:rFonts w:ascii="楷体" w:hAnsi="楷体" w:eastAsia="楷体" w:cs="楷体"/>
          <w:color w:val="auto"/>
          <w:sz w:val="32"/>
          <w:szCs w:val="32"/>
        </w:rPr>
      </w:pPr>
      <w:r>
        <w:rPr>
          <w:rFonts w:hint="eastAsia" w:ascii="楷体" w:hAnsi="楷体" w:eastAsia="楷体" w:cs="楷体"/>
          <w:color w:val="auto"/>
          <w:sz w:val="32"/>
          <w:szCs w:val="32"/>
        </w:rPr>
        <w:t>（一）机关运行经费</w:t>
      </w:r>
    </w:p>
    <w:p w14:paraId="4B2A238D">
      <w:pPr>
        <w:ind w:firstLine="640" w:firstLineChars="200"/>
        <w:jc w:val="left"/>
        <w:rPr>
          <w:rFonts w:hint="eastAsia" w:ascii="楷体" w:hAnsi="楷体" w:eastAsia="楷体"/>
          <w:color w:val="auto"/>
          <w:sz w:val="32"/>
          <w:szCs w:val="32"/>
        </w:rPr>
      </w:pPr>
      <w:r>
        <w:rPr>
          <w:rFonts w:hint="eastAsia" w:ascii="仿宋" w:hAnsi="仿宋" w:eastAsia="仿宋"/>
          <w:color w:val="auto"/>
          <w:sz w:val="32"/>
          <w:szCs w:val="32"/>
          <w:lang w:eastAsia="zh-CN"/>
        </w:rPr>
        <w:t>2025年我单位无机关运行经费。</w:t>
      </w:r>
    </w:p>
    <w:p w14:paraId="0E675227">
      <w:pPr>
        <w:ind w:firstLine="640" w:firstLineChars="200"/>
        <w:jc w:val="left"/>
        <w:rPr>
          <w:rFonts w:ascii="楷体" w:hAnsi="楷体" w:eastAsia="楷体"/>
          <w:color w:val="auto"/>
          <w:sz w:val="32"/>
          <w:szCs w:val="32"/>
        </w:rPr>
      </w:pPr>
      <w:r>
        <w:rPr>
          <w:rFonts w:hint="eastAsia" w:ascii="楷体" w:hAnsi="楷体" w:eastAsia="楷体"/>
          <w:color w:val="auto"/>
          <w:sz w:val="32"/>
          <w:szCs w:val="32"/>
        </w:rPr>
        <w:t>（二）政府采购情况</w:t>
      </w:r>
    </w:p>
    <w:p w14:paraId="6B7C524F">
      <w:pPr>
        <w:ind w:firstLine="640" w:firstLineChars="200"/>
        <w:jc w:val="left"/>
        <w:rPr>
          <w:rFonts w:hint="eastAsia" w:ascii="仿宋" w:hAnsi="仿宋" w:eastAsia="仿宋"/>
          <w:color w:val="auto"/>
          <w:sz w:val="32"/>
          <w:szCs w:val="32"/>
          <w:lang w:eastAsia="zh-CN"/>
        </w:rPr>
      </w:pPr>
      <w:r>
        <w:rPr>
          <w:rFonts w:hint="eastAsia" w:ascii="仿宋" w:hAnsi="仿宋" w:eastAsia="仿宋"/>
          <w:color w:val="auto"/>
          <w:sz w:val="32"/>
          <w:szCs w:val="32"/>
          <w:lang w:eastAsia="zh-CN"/>
        </w:rPr>
        <w:t>2025年我单位无政府采购预算。</w:t>
      </w:r>
    </w:p>
    <w:p w14:paraId="1F889C75">
      <w:pPr>
        <w:jc w:val="left"/>
        <w:rPr>
          <w:rFonts w:ascii="楷体" w:hAnsi="楷体" w:eastAsia="楷体"/>
          <w:color w:val="auto"/>
          <w:sz w:val="32"/>
          <w:szCs w:val="32"/>
        </w:rPr>
      </w:pPr>
      <w:r>
        <w:rPr>
          <w:rFonts w:hint="eastAsia" w:ascii="仿宋" w:hAnsi="仿宋" w:eastAsia="仿宋"/>
          <w:color w:val="auto"/>
          <w:sz w:val="32"/>
          <w:szCs w:val="32"/>
        </w:rPr>
        <w:t xml:space="preserve">    </w:t>
      </w:r>
      <w:r>
        <w:rPr>
          <w:rFonts w:hint="eastAsia" w:ascii="楷体" w:hAnsi="楷体" w:eastAsia="楷体"/>
          <w:color w:val="auto"/>
          <w:sz w:val="32"/>
          <w:szCs w:val="32"/>
        </w:rPr>
        <w:t>（三）国有资产占有使用情况</w:t>
      </w:r>
    </w:p>
    <w:p w14:paraId="39DE0C37">
      <w:pPr>
        <w:pStyle w:val="8"/>
        <w:ind w:firstLine="0" w:firstLineChars="0"/>
        <w:jc w:val="left"/>
        <w:rPr>
          <w:rFonts w:ascii="仿宋" w:hAnsi="仿宋" w:eastAsia="仿宋"/>
          <w:color w:val="auto"/>
          <w:sz w:val="32"/>
          <w:szCs w:val="32"/>
        </w:rPr>
      </w:pPr>
      <w:r>
        <w:rPr>
          <w:rFonts w:hint="eastAsia" w:ascii="仿宋" w:hAnsi="仿宋" w:eastAsia="仿宋"/>
          <w:color w:val="auto"/>
          <w:sz w:val="32"/>
          <w:szCs w:val="32"/>
        </w:rPr>
        <w:t xml:space="preserve">   </w:t>
      </w:r>
      <w:r>
        <w:rPr>
          <w:rFonts w:hint="eastAsia" w:ascii="仿宋" w:hAnsi="仿宋" w:eastAsia="仿宋" w:cstheme="minorBidi"/>
          <w:color w:val="auto"/>
          <w:kern w:val="2"/>
          <w:sz w:val="32"/>
          <w:szCs w:val="32"/>
          <w:lang w:val="en-US" w:eastAsia="zh-CN" w:bidi="ar-SA"/>
        </w:rPr>
        <w:t xml:space="preserve"> 截至2025年1月，部门本级车辆10辆，价值200万元以上大型设备 0台（套）。</w:t>
      </w:r>
    </w:p>
    <w:p w14:paraId="1E74ECA0">
      <w:pPr>
        <w:pStyle w:val="8"/>
        <w:ind w:firstLine="640"/>
        <w:jc w:val="left"/>
        <w:rPr>
          <w:rFonts w:ascii="仿宋" w:hAnsi="仿宋" w:eastAsia="仿宋"/>
          <w:color w:val="auto"/>
          <w:sz w:val="32"/>
          <w:szCs w:val="32"/>
        </w:rPr>
      </w:pPr>
      <w:r>
        <w:rPr>
          <w:rFonts w:hint="eastAsia" w:ascii="仿宋" w:hAnsi="仿宋" w:eastAsia="仿宋"/>
          <w:color w:val="auto"/>
          <w:sz w:val="32"/>
          <w:szCs w:val="32"/>
          <w:lang w:eastAsia="zh-CN"/>
        </w:rPr>
        <w:t>2025年</w:t>
      </w:r>
      <w:r>
        <w:rPr>
          <w:rFonts w:hint="eastAsia" w:ascii="仿宋" w:hAnsi="仿宋" w:eastAsia="仿宋"/>
          <w:color w:val="auto"/>
          <w:sz w:val="32"/>
          <w:szCs w:val="32"/>
        </w:rPr>
        <w:t>部门预算安排购置车辆及价值200万元以上大型设备</w:t>
      </w:r>
      <w:r>
        <w:rPr>
          <w:rFonts w:ascii="仿宋" w:hAnsi="仿宋" w:eastAsia="仿宋"/>
          <w:color w:val="auto"/>
          <w:sz w:val="32"/>
          <w:szCs w:val="32"/>
        </w:rPr>
        <w:t>0</w:t>
      </w:r>
      <w:r>
        <w:rPr>
          <w:rFonts w:hint="eastAsia" w:ascii="仿宋" w:hAnsi="仿宋" w:eastAsia="仿宋"/>
          <w:color w:val="auto"/>
          <w:sz w:val="32"/>
          <w:szCs w:val="32"/>
        </w:rPr>
        <w:t>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hint="eastAsia" w:ascii="仿宋" w:hAnsi="仿宋" w:eastAsia="仿宋" w:cs="Times New Roman"/>
          <w:bCs/>
          <w:kern w:val="2"/>
          <w:sz w:val="32"/>
          <w:szCs w:val="32"/>
          <w:lang w:val="en-US" w:eastAsia="zh-CN" w:bidi="ar-SA"/>
        </w:rPr>
      </w:pPr>
      <w:r>
        <w:rPr>
          <w:rFonts w:hint="eastAsia" w:ascii="仿宋" w:hAnsi="仿宋" w:eastAsia="仿宋"/>
          <w:sz w:val="32"/>
          <w:szCs w:val="32"/>
        </w:rPr>
        <w:t xml:space="preserve">  </w:t>
      </w:r>
      <w:r>
        <w:rPr>
          <w:rFonts w:hint="eastAsia" w:ascii="仿宋" w:hAnsi="仿宋" w:eastAsia="仿宋" w:cs="Times New Roman"/>
          <w:bCs/>
          <w:kern w:val="2"/>
          <w:sz w:val="32"/>
          <w:szCs w:val="32"/>
          <w:lang w:val="en-US" w:eastAsia="zh-CN" w:bidi="ar-SA"/>
        </w:rPr>
        <w:t xml:space="preserve">  按照全面实施预算绩效管理的要求，结合本部门职能和重点工作，2025年将1 个项目支出的绩效目标和指标向社会公开，涉及金额50.37万元。</w:t>
      </w:r>
    </w:p>
    <w:p w14:paraId="2E3301A4">
      <w:pPr>
        <w:ind w:firstLine="640" w:firstLineChars="200"/>
        <w:jc w:val="left"/>
        <w:rPr>
          <w:rFonts w:hint="eastAsia" w:ascii="仿宋" w:hAnsi="仿宋" w:eastAsia="仿宋"/>
          <w:color w:val="auto"/>
          <w:sz w:val="32"/>
          <w:szCs w:val="32"/>
        </w:rPr>
      </w:pPr>
    </w:p>
    <w:p w14:paraId="0791013E">
      <w:pPr>
        <w:ind w:firstLine="640" w:firstLineChars="200"/>
        <w:jc w:val="left"/>
        <w:rPr>
          <w:rFonts w:hint="eastAsia" w:ascii="仿宋" w:hAnsi="仿宋" w:eastAsia="仿宋"/>
          <w:color w:val="auto"/>
          <w:sz w:val="32"/>
          <w:szCs w:val="32"/>
        </w:rPr>
      </w:pPr>
    </w:p>
    <w:p w14:paraId="2459F35A">
      <w:pPr>
        <w:ind w:firstLine="640" w:firstLineChars="200"/>
        <w:jc w:val="left"/>
        <w:rPr>
          <w:rFonts w:hint="eastAsia" w:ascii="仿宋" w:hAnsi="仿宋" w:eastAsia="仿宋"/>
          <w:color w:val="auto"/>
          <w:sz w:val="32"/>
          <w:szCs w:val="32"/>
        </w:rPr>
      </w:pPr>
    </w:p>
    <w:p w14:paraId="47C55DE9">
      <w:pPr>
        <w:jc w:val="left"/>
        <w:rPr>
          <w:rFonts w:ascii="仿宋" w:hAnsi="仿宋" w:eastAsia="仿宋"/>
          <w:color w:val="auto"/>
          <w:sz w:val="32"/>
          <w:szCs w:val="32"/>
        </w:rPr>
      </w:pPr>
    </w:p>
    <w:p w14:paraId="7A53108F">
      <w:pPr>
        <w:jc w:val="center"/>
        <w:rPr>
          <w:rFonts w:ascii="仿宋" w:hAnsi="仿宋" w:eastAsia="仿宋"/>
          <w:sz w:val="32"/>
          <w:szCs w:val="32"/>
        </w:rPr>
      </w:pPr>
    </w:p>
    <w:p w14:paraId="3855E51D">
      <w:pPr>
        <w:jc w:val="both"/>
        <w:rPr>
          <w:rFonts w:hint="eastAsia" w:ascii="黑体" w:hAnsi="黑体" w:eastAsia="黑体"/>
          <w:sz w:val="32"/>
          <w:szCs w:val="32"/>
        </w:rPr>
      </w:pPr>
    </w:p>
    <w:p w14:paraId="63C740BB">
      <w:pPr>
        <w:jc w:val="both"/>
        <w:rPr>
          <w:rFonts w:hint="eastAsia" w:ascii="黑体" w:hAnsi="黑体" w:eastAsia="黑体"/>
          <w:sz w:val="32"/>
          <w:szCs w:val="32"/>
        </w:rPr>
      </w:pPr>
    </w:p>
    <w:p w14:paraId="1857AE8C">
      <w:pPr>
        <w:jc w:val="center"/>
        <w:rPr>
          <w:rFonts w:hint="eastAsia" w:ascii="黑体" w:hAnsi="黑体" w:eastAsia="黑体"/>
          <w:sz w:val="32"/>
          <w:szCs w:val="32"/>
        </w:rPr>
      </w:pPr>
    </w:p>
    <w:p w14:paraId="373F7712">
      <w:pPr>
        <w:jc w:val="center"/>
        <w:rPr>
          <w:rFonts w:ascii="黑体" w:hAnsi="黑体" w:eastAsia="黑体"/>
          <w:sz w:val="32"/>
          <w:szCs w:val="32"/>
        </w:rPr>
      </w:pPr>
      <w:r>
        <w:rPr>
          <w:rFonts w:hint="eastAsia" w:ascii="黑体" w:hAnsi="黑体" w:eastAsia="黑体"/>
          <w:sz w:val="32"/>
          <w:szCs w:val="32"/>
        </w:rPr>
        <w:t>第三部分  名词解释</w:t>
      </w:r>
    </w:p>
    <w:p w14:paraId="66EAB85B">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0A733F42">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212A36A7">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7953BD2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56FA63EC">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685A810A">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5150A9DE">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5DF26C12">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674D257F">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1C2E5B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2186B0D9">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46CEC52F">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7402A34A">
      <w:pPr>
        <w:ind w:firstLine="640" w:firstLineChars="200"/>
        <w:rPr>
          <w:rFonts w:ascii="仿宋_GB2312" w:eastAsia="仿宋_GB2312"/>
          <w:sz w:val="32"/>
          <w:szCs w:val="32"/>
        </w:rPr>
      </w:pPr>
    </w:p>
    <w:p w14:paraId="61E86707">
      <w:pPr>
        <w:jc w:val="left"/>
        <w:rPr>
          <w:rFonts w:ascii="仿宋" w:hAnsi="仿宋" w:eastAsia="仿宋"/>
          <w:sz w:val="32"/>
          <w:szCs w:val="32"/>
        </w:rPr>
      </w:pPr>
      <w:r>
        <w:rPr>
          <w:rFonts w:hint="eastAsia" w:ascii="仿宋" w:hAnsi="仿宋" w:eastAsia="仿宋"/>
          <w:sz w:val="32"/>
          <w:szCs w:val="32"/>
        </w:rPr>
        <w:t xml:space="preserve"> </w:t>
      </w:r>
    </w:p>
    <w:p w14:paraId="418A3137">
      <w:pPr>
        <w:jc w:val="left"/>
        <w:rPr>
          <w:rFonts w:ascii="仿宋" w:hAnsi="仿宋" w:eastAsia="仿宋"/>
          <w:sz w:val="32"/>
          <w:szCs w:val="32"/>
        </w:rPr>
      </w:pPr>
    </w:p>
    <w:p w14:paraId="56A1CDF3">
      <w:pPr>
        <w:jc w:val="left"/>
        <w:rPr>
          <w:rFonts w:ascii="仿宋" w:hAnsi="仿宋" w:eastAsia="仿宋"/>
          <w:sz w:val="32"/>
          <w:szCs w:val="32"/>
        </w:rPr>
      </w:pPr>
    </w:p>
    <w:p w14:paraId="3BA22155">
      <w:pPr>
        <w:jc w:val="left"/>
        <w:rPr>
          <w:rFonts w:ascii="仿宋" w:hAnsi="仿宋" w:eastAsia="仿宋"/>
          <w:sz w:val="32"/>
          <w:szCs w:val="32"/>
        </w:rPr>
      </w:pPr>
    </w:p>
    <w:p w14:paraId="3BE7BBFF">
      <w:pPr>
        <w:jc w:val="left"/>
        <w:rPr>
          <w:rFonts w:ascii="仿宋" w:hAnsi="仿宋" w:eastAsia="仿宋"/>
          <w:sz w:val="32"/>
          <w:szCs w:val="32"/>
        </w:rPr>
      </w:pPr>
    </w:p>
    <w:p w14:paraId="1C4BDF5D">
      <w:pPr>
        <w:jc w:val="left"/>
        <w:rPr>
          <w:rFonts w:ascii="仿宋" w:hAnsi="仿宋" w:eastAsia="仿宋"/>
          <w:sz w:val="32"/>
          <w:szCs w:val="32"/>
        </w:rPr>
      </w:pPr>
    </w:p>
    <w:p w14:paraId="1B9DA4B3">
      <w:pPr>
        <w:jc w:val="center"/>
        <w:rPr>
          <w:rFonts w:hint="eastAsia" w:ascii="黑体" w:hAnsi="黑体" w:eastAsia="黑体"/>
          <w:sz w:val="32"/>
          <w:szCs w:val="32"/>
        </w:rPr>
      </w:pPr>
      <w:r>
        <w:rPr>
          <w:rFonts w:hint="eastAsia" w:ascii="黑体" w:hAnsi="黑体" w:eastAsia="黑体"/>
          <w:sz w:val="32"/>
          <w:szCs w:val="32"/>
        </w:rPr>
        <w:t>第四部分  预算表格</w:t>
      </w:r>
    </w:p>
    <w:p w14:paraId="0252C055">
      <w:pPr>
        <w:ind w:firstLine="640" w:firstLineChars="200"/>
        <w:jc w:val="left"/>
        <w:rPr>
          <w:rFonts w:hint="eastAsia" w:ascii="仿宋" w:hAnsi="仿宋" w:eastAsia="仿宋"/>
          <w:sz w:val="32"/>
          <w:szCs w:val="32"/>
          <w:lang w:eastAsia="zh-CN"/>
        </w:rPr>
      </w:pPr>
      <w:bookmarkStart w:id="0" w:name="_GoBack"/>
      <w:bookmarkEnd w:id="0"/>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070C9172">
      <w:pPr>
        <w:rPr>
          <w:rFonts w:ascii="仿宋" w:hAnsi="仿宋" w:eastAsia="仿宋"/>
          <w:sz w:val="32"/>
          <w:szCs w:val="32"/>
        </w:rPr>
      </w:pPr>
    </w:p>
    <w:p w14:paraId="10AD79E7">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I2YjIzMTVlMGEyYjYxY2I5N2UwZDE3MDNkZmIwZTk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26D86"/>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248D4"/>
    <w:rsid w:val="05595CE0"/>
    <w:rsid w:val="05AE6735"/>
    <w:rsid w:val="07C71E05"/>
    <w:rsid w:val="0A450E4E"/>
    <w:rsid w:val="0A7F599D"/>
    <w:rsid w:val="0B4115AF"/>
    <w:rsid w:val="0C633590"/>
    <w:rsid w:val="0C7C5D37"/>
    <w:rsid w:val="0D0F40E1"/>
    <w:rsid w:val="0E0E4A27"/>
    <w:rsid w:val="0E235FAD"/>
    <w:rsid w:val="0E933B6E"/>
    <w:rsid w:val="0F4C4086"/>
    <w:rsid w:val="0FF3619B"/>
    <w:rsid w:val="10D9450A"/>
    <w:rsid w:val="112B3A0C"/>
    <w:rsid w:val="117169F8"/>
    <w:rsid w:val="11DF6BD5"/>
    <w:rsid w:val="122356AC"/>
    <w:rsid w:val="12C62CA4"/>
    <w:rsid w:val="15DA5399"/>
    <w:rsid w:val="187E3884"/>
    <w:rsid w:val="18F97B94"/>
    <w:rsid w:val="191A0446"/>
    <w:rsid w:val="1A0069EE"/>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2FD74089"/>
    <w:rsid w:val="344D4C9B"/>
    <w:rsid w:val="36273D08"/>
    <w:rsid w:val="37361A0B"/>
    <w:rsid w:val="38253B59"/>
    <w:rsid w:val="385B501F"/>
    <w:rsid w:val="38DE30B8"/>
    <w:rsid w:val="39284901"/>
    <w:rsid w:val="39AB5825"/>
    <w:rsid w:val="3A482539"/>
    <w:rsid w:val="3A915046"/>
    <w:rsid w:val="3C3155FA"/>
    <w:rsid w:val="3C4C15D1"/>
    <w:rsid w:val="3CE440CF"/>
    <w:rsid w:val="3CEA5A8A"/>
    <w:rsid w:val="3D897F97"/>
    <w:rsid w:val="3DA7578C"/>
    <w:rsid w:val="3F597259"/>
    <w:rsid w:val="3F6B774D"/>
    <w:rsid w:val="40095632"/>
    <w:rsid w:val="430260DD"/>
    <w:rsid w:val="442476FC"/>
    <w:rsid w:val="46345885"/>
    <w:rsid w:val="46B15537"/>
    <w:rsid w:val="46C17DAD"/>
    <w:rsid w:val="46F64D5D"/>
    <w:rsid w:val="486E43ED"/>
    <w:rsid w:val="49B81F53"/>
    <w:rsid w:val="4AAC7860"/>
    <w:rsid w:val="4D0265B8"/>
    <w:rsid w:val="4D8021B9"/>
    <w:rsid w:val="4DFF6777"/>
    <w:rsid w:val="4EB752BA"/>
    <w:rsid w:val="4ED6365B"/>
    <w:rsid w:val="4F735000"/>
    <w:rsid w:val="50041643"/>
    <w:rsid w:val="50F75E7E"/>
    <w:rsid w:val="51436F0F"/>
    <w:rsid w:val="519E599C"/>
    <w:rsid w:val="51BB428B"/>
    <w:rsid w:val="51C03A67"/>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891708"/>
    <w:rsid w:val="5DB8541C"/>
    <w:rsid w:val="5E221344"/>
    <w:rsid w:val="5E32788E"/>
    <w:rsid w:val="5FB128C2"/>
    <w:rsid w:val="60731B65"/>
    <w:rsid w:val="60D72763"/>
    <w:rsid w:val="61525EF8"/>
    <w:rsid w:val="615F5A3C"/>
    <w:rsid w:val="62B666A5"/>
    <w:rsid w:val="62E15FE9"/>
    <w:rsid w:val="634F4E20"/>
    <w:rsid w:val="65255B39"/>
    <w:rsid w:val="659C7B1A"/>
    <w:rsid w:val="65E847CC"/>
    <w:rsid w:val="66273AE0"/>
    <w:rsid w:val="66B27F22"/>
    <w:rsid w:val="67286561"/>
    <w:rsid w:val="691F508E"/>
    <w:rsid w:val="6A340295"/>
    <w:rsid w:val="6A5666B8"/>
    <w:rsid w:val="6B480E55"/>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59E0F0F"/>
    <w:rsid w:val="76C753DE"/>
    <w:rsid w:val="76C775D8"/>
    <w:rsid w:val="77167BE1"/>
    <w:rsid w:val="77FC6956"/>
    <w:rsid w:val="7A64282A"/>
    <w:rsid w:val="7A8D6ADA"/>
    <w:rsid w:val="7B3F526D"/>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autoRedefine/>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2319</Words>
  <Characters>2531</Characters>
  <Lines>22</Lines>
  <Paragraphs>6</Paragraphs>
  <TotalTime>1</TotalTime>
  <ScaleCrop>false</ScaleCrop>
  <LinksUpToDate>false</LinksUpToDate>
  <CharactersWithSpaces>2613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小小的梦想</cp:lastModifiedBy>
  <dcterms:modified xsi:type="dcterms:W3CDTF">2025-04-05T03:10:05Z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7C7D9A6AA1DF4DCDBEDDC3CB0A395FB1_13</vt:lpwstr>
  </property>
  <property fmtid="{D5CDD505-2E9C-101B-9397-08002B2CF9AE}" pid="4" name="KSOTemplateDocerSaveRecord">
    <vt:lpwstr>eyJoZGlkIjoiMDhkYzg1NTUzYmJjMTk4YzUzMDI3MWJkM2E2YTZhMzYiLCJ1c2VySWQiOiI2OTg4ODUwMDkifQ==</vt:lpwstr>
  </property>
</Properties>
</file>