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E115D">
      <w:pPr>
        <w:jc w:val="center"/>
        <w:rPr>
          <w:rFonts w:ascii="黑体" w:hAnsi="黑体" w:eastAsia="黑体"/>
          <w:sz w:val="44"/>
          <w:szCs w:val="44"/>
        </w:rPr>
      </w:pPr>
    </w:p>
    <w:p w14:paraId="693B3C5B">
      <w:pPr>
        <w:jc w:val="center"/>
        <w:rPr>
          <w:rFonts w:ascii="黑体" w:hAnsi="黑体" w:eastAsia="黑体"/>
          <w:sz w:val="44"/>
          <w:szCs w:val="44"/>
        </w:rPr>
      </w:pPr>
    </w:p>
    <w:p w14:paraId="006152B2">
      <w:pPr>
        <w:jc w:val="center"/>
        <w:rPr>
          <w:rFonts w:ascii="黑体" w:hAnsi="黑体" w:eastAsia="黑体"/>
          <w:sz w:val="44"/>
          <w:szCs w:val="44"/>
        </w:rPr>
      </w:pPr>
    </w:p>
    <w:p w14:paraId="4F88AC31">
      <w:pPr>
        <w:jc w:val="center"/>
        <w:rPr>
          <w:rFonts w:ascii="黑体" w:hAnsi="黑体" w:eastAsia="黑体"/>
          <w:sz w:val="52"/>
          <w:szCs w:val="52"/>
        </w:rPr>
      </w:pPr>
      <w:r>
        <w:rPr>
          <w:rFonts w:hint="eastAsia" w:ascii="黑体" w:hAnsi="黑体" w:eastAsia="黑体"/>
          <w:sz w:val="52"/>
          <w:szCs w:val="52"/>
        </w:rPr>
        <w:t>永吉县结核病防治所</w:t>
      </w:r>
    </w:p>
    <w:p w14:paraId="2857D053">
      <w:pPr>
        <w:jc w:val="center"/>
        <w:rPr>
          <w:rFonts w:ascii="黑体" w:hAnsi="黑体" w:eastAsia="黑体"/>
          <w:sz w:val="52"/>
          <w:szCs w:val="52"/>
        </w:rPr>
      </w:pPr>
      <w:r>
        <w:rPr>
          <w:rFonts w:hint="eastAsia" w:ascii="黑体" w:hAnsi="黑体" w:eastAsia="黑体"/>
          <w:sz w:val="52"/>
          <w:szCs w:val="52"/>
        </w:rPr>
        <w:t>2025年部门预算</w:t>
      </w:r>
    </w:p>
    <w:p w14:paraId="2E030F37">
      <w:pPr>
        <w:jc w:val="center"/>
        <w:rPr>
          <w:rFonts w:ascii="黑体" w:hAnsi="黑体" w:eastAsia="黑体"/>
          <w:sz w:val="44"/>
          <w:szCs w:val="44"/>
        </w:rPr>
      </w:pPr>
    </w:p>
    <w:p w14:paraId="713A4FB1">
      <w:pPr>
        <w:jc w:val="center"/>
        <w:rPr>
          <w:rFonts w:ascii="黑体" w:hAnsi="黑体" w:eastAsia="黑体"/>
          <w:sz w:val="44"/>
          <w:szCs w:val="44"/>
        </w:rPr>
      </w:pPr>
    </w:p>
    <w:p w14:paraId="471B2BD6">
      <w:pPr>
        <w:jc w:val="center"/>
        <w:rPr>
          <w:rFonts w:ascii="黑体" w:hAnsi="黑体" w:eastAsia="黑体"/>
          <w:sz w:val="44"/>
          <w:szCs w:val="44"/>
        </w:rPr>
      </w:pPr>
    </w:p>
    <w:p w14:paraId="562EA722">
      <w:pPr>
        <w:jc w:val="center"/>
        <w:rPr>
          <w:rFonts w:ascii="黑体" w:hAnsi="黑体" w:eastAsia="黑体"/>
          <w:sz w:val="44"/>
          <w:szCs w:val="44"/>
        </w:rPr>
      </w:pPr>
    </w:p>
    <w:p w14:paraId="538D240B">
      <w:pPr>
        <w:jc w:val="center"/>
        <w:rPr>
          <w:rFonts w:ascii="黑体" w:hAnsi="黑体" w:eastAsia="黑体"/>
          <w:sz w:val="44"/>
          <w:szCs w:val="44"/>
        </w:rPr>
      </w:pPr>
    </w:p>
    <w:p w14:paraId="46F2E3EA">
      <w:pPr>
        <w:jc w:val="center"/>
        <w:rPr>
          <w:rFonts w:ascii="黑体" w:hAnsi="黑体" w:eastAsia="黑体"/>
          <w:sz w:val="44"/>
          <w:szCs w:val="44"/>
        </w:rPr>
      </w:pPr>
    </w:p>
    <w:p w14:paraId="4D41BEF0">
      <w:pPr>
        <w:jc w:val="center"/>
        <w:rPr>
          <w:rFonts w:ascii="黑体" w:hAnsi="黑体" w:eastAsia="黑体"/>
          <w:sz w:val="44"/>
          <w:szCs w:val="44"/>
        </w:rPr>
      </w:pPr>
    </w:p>
    <w:p w14:paraId="15821C22">
      <w:pPr>
        <w:jc w:val="center"/>
        <w:rPr>
          <w:rFonts w:ascii="黑体" w:hAnsi="黑体" w:eastAsia="黑体"/>
          <w:sz w:val="44"/>
          <w:szCs w:val="44"/>
        </w:rPr>
      </w:pPr>
    </w:p>
    <w:p w14:paraId="53BA7ADA">
      <w:pPr>
        <w:jc w:val="center"/>
        <w:rPr>
          <w:rFonts w:ascii="黑体" w:hAnsi="黑体" w:eastAsia="黑体"/>
          <w:sz w:val="44"/>
          <w:szCs w:val="44"/>
        </w:rPr>
      </w:pPr>
    </w:p>
    <w:p w14:paraId="63C4070A">
      <w:pPr>
        <w:jc w:val="center"/>
        <w:rPr>
          <w:rFonts w:ascii="黑体" w:hAnsi="黑体" w:eastAsia="黑体"/>
          <w:sz w:val="44"/>
          <w:szCs w:val="44"/>
        </w:rPr>
      </w:pPr>
    </w:p>
    <w:p w14:paraId="09BADF3E">
      <w:pPr>
        <w:jc w:val="center"/>
        <w:rPr>
          <w:rFonts w:ascii="黑体" w:hAnsi="黑体" w:eastAsia="黑体"/>
          <w:sz w:val="44"/>
          <w:szCs w:val="44"/>
        </w:rPr>
      </w:pPr>
    </w:p>
    <w:p w14:paraId="4F849CEC">
      <w:pPr>
        <w:jc w:val="center"/>
        <w:rPr>
          <w:rFonts w:ascii="黑体" w:hAnsi="黑体" w:eastAsia="黑体"/>
          <w:sz w:val="44"/>
          <w:szCs w:val="44"/>
        </w:rPr>
      </w:pPr>
    </w:p>
    <w:p w14:paraId="3B2B4E31">
      <w:pPr>
        <w:jc w:val="center"/>
        <w:rPr>
          <w:rFonts w:ascii="黑体" w:hAnsi="黑体" w:eastAsia="黑体"/>
          <w:sz w:val="44"/>
          <w:szCs w:val="44"/>
        </w:rPr>
      </w:pPr>
    </w:p>
    <w:p w14:paraId="6856959F">
      <w:pPr>
        <w:jc w:val="center"/>
        <w:rPr>
          <w:rFonts w:ascii="黑体" w:hAnsi="黑体" w:eastAsia="黑体"/>
          <w:sz w:val="44"/>
          <w:szCs w:val="44"/>
        </w:rPr>
      </w:pPr>
    </w:p>
    <w:p w14:paraId="614C13FA">
      <w:pPr>
        <w:jc w:val="center"/>
        <w:rPr>
          <w:rFonts w:ascii="黑体" w:hAnsi="黑体" w:eastAsia="黑体"/>
          <w:sz w:val="44"/>
          <w:szCs w:val="44"/>
        </w:rPr>
      </w:pPr>
      <w:r>
        <w:rPr>
          <w:rFonts w:hint="eastAsia" w:ascii="黑体" w:hAnsi="黑体" w:eastAsia="黑体"/>
          <w:sz w:val="44"/>
          <w:szCs w:val="44"/>
        </w:rPr>
        <w:t>二〇二五年一月三日</w:t>
      </w:r>
    </w:p>
    <w:p w14:paraId="69A57AAE">
      <w:pPr>
        <w:jc w:val="center"/>
        <w:rPr>
          <w:rFonts w:ascii="黑体" w:hAnsi="黑体" w:eastAsia="黑体"/>
          <w:sz w:val="44"/>
          <w:szCs w:val="44"/>
        </w:rPr>
      </w:pPr>
    </w:p>
    <w:p w14:paraId="07B0EBCC">
      <w:pPr>
        <w:jc w:val="center"/>
        <w:rPr>
          <w:rFonts w:ascii="黑体" w:hAnsi="黑体" w:eastAsia="黑体"/>
          <w:sz w:val="44"/>
          <w:szCs w:val="44"/>
        </w:rPr>
      </w:pPr>
    </w:p>
    <w:p w14:paraId="5AE96F1D">
      <w:pPr>
        <w:jc w:val="center"/>
        <w:rPr>
          <w:rFonts w:ascii="黑体" w:hAnsi="黑体" w:eastAsia="黑体"/>
          <w:sz w:val="44"/>
          <w:szCs w:val="44"/>
        </w:rPr>
      </w:pPr>
      <w:r>
        <w:rPr>
          <w:rFonts w:hint="eastAsia" w:ascii="黑体" w:hAnsi="黑体" w:eastAsia="黑体"/>
          <w:sz w:val="44"/>
          <w:szCs w:val="44"/>
        </w:rPr>
        <w:t>永吉县结核病防治所2025年预算</w:t>
      </w:r>
    </w:p>
    <w:p w14:paraId="42B182AB">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51523B6B">
      <w:pPr>
        <w:rPr>
          <w:rFonts w:ascii="仿宋" w:hAnsi="仿宋" w:eastAsia="仿宋"/>
          <w:sz w:val="32"/>
          <w:szCs w:val="32"/>
        </w:rPr>
      </w:pPr>
      <w:r>
        <w:rPr>
          <w:rFonts w:hint="eastAsia" w:ascii="仿宋" w:hAnsi="仿宋" w:eastAsia="仿宋"/>
          <w:sz w:val="32"/>
          <w:szCs w:val="32"/>
        </w:rPr>
        <w:t>第一部分  部门概况</w:t>
      </w:r>
    </w:p>
    <w:p w14:paraId="7DEA1092">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6BFF1830">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290F370C">
      <w:pPr>
        <w:rPr>
          <w:rFonts w:ascii="仿宋" w:hAnsi="仿宋" w:eastAsia="仿宋"/>
          <w:sz w:val="32"/>
          <w:szCs w:val="32"/>
        </w:rPr>
      </w:pPr>
      <w:r>
        <w:rPr>
          <w:rFonts w:hint="eastAsia" w:ascii="仿宋" w:hAnsi="仿宋" w:eastAsia="仿宋"/>
          <w:sz w:val="32"/>
          <w:szCs w:val="32"/>
        </w:rPr>
        <w:t>第二部分  情况说明</w:t>
      </w:r>
    </w:p>
    <w:p w14:paraId="11970013">
      <w:pPr>
        <w:rPr>
          <w:rFonts w:ascii="仿宋" w:hAnsi="仿宋" w:eastAsia="仿宋"/>
          <w:sz w:val="32"/>
          <w:szCs w:val="32"/>
        </w:rPr>
      </w:pPr>
      <w:r>
        <w:rPr>
          <w:rFonts w:hint="eastAsia" w:ascii="仿宋" w:hAnsi="仿宋" w:eastAsia="仿宋"/>
          <w:sz w:val="32"/>
          <w:szCs w:val="32"/>
        </w:rPr>
        <w:t xml:space="preserve">第三部分  名词解释 </w:t>
      </w:r>
    </w:p>
    <w:p w14:paraId="1E59355F">
      <w:pPr>
        <w:rPr>
          <w:rFonts w:ascii="仿宋" w:hAnsi="仿宋" w:eastAsia="仿宋"/>
          <w:sz w:val="32"/>
          <w:szCs w:val="32"/>
        </w:rPr>
      </w:pPr>
      <w:r>
        <w:rPr>
          <w:rFonts w:hint="eastAsia" w:ascii="仿宋" w:hAnsi="仿宋" w:eastAsia="仿宋"/>
          <w:sz w:val="32"/>
          <w:szCs w:val="32"/>
        </w:rPr>
        <w:t>第四部分  预算表格</w:t>
      </w:r>
    </w:p>
    <w:p w14:paraId="2CC1961B">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1A3BEE19">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2A9B57E4">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475F4583">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0B5C8538">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5D80E4A6">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74A31D95">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7ADC589E">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59EB8B41">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40027A2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24514290">
      <w:pPr>
        <w:rPr>
          <w:rFonts w:ascii="仿宋" w:hAnsi="仿宋" w:eastAsia="仿宋"/>
          <w:sz w:val="32"/>
          <w:szCs w:val="32"/>
        </w:rPr>
      </w:pPr>
    </w:p>
    <w:p w14:paraId="5ED680E7">
      <w:pPr>
        <w:rPr>
          <w:rFonts w:ascii="仿宋" w:hAnsi="仿宋" w:eastAsia="仿宋"/>
          <w:sz w:val="32"/>
          <w:szCs w:val="32"/>
        </w:rPr>
      </w:pPr>
    </w:p>
    <w:p w14:paraId="148441FD">
      <w:pPr>
        <w:rPr>
          <w:rFonts w:ascii="仿宋" w:hAnsi="仿宋" w:eastAsia="仿宋"/>
          <w:sz w:val="32"/>
          <w:szCs w:val="32"/>
        </w:rPr>
      </w:pPr>
    </w:p>
    <w:p w14:paraId="1EB63229">
      <w:pPr>
        <w:jc w:val="center"/>
        <w:rPr>
          <w:rFonts w:ascii="黑体" w:hAnsi="黑体" w:eastAsia="黑体"/>
          <w:sz w:val="32"/>
          <w:szCs w:val="32"/>
        </w:rPr>
      </w:pPr>
      <w:r>
        <w:rPr>
          <w:rFonts w:hint="eastAsia" w:ascii="黑体" w:hAnsi="黑体" w:eastAsia="黑体"/>
          <w:sz w:val="32"/>
          <w:szCs w:val="32"/>
        </w:rPr>
        <w:t>第一部分    部门（单位）概况</w:t>
      </w:r>
    </w:p>
    <w:p w14:paraId="0FA1670D">
      <w:pPr>
        <w:jc w:val="left"/>
        <w:rPr>
          <w:rFonts w:ascii="仿宋" w:hAnsi="仿宋" w:eastAsia="仿宋"/>
          <w:sz w:val="32"/>
          <w:szCs w:val="32"/>
        </w:rPr>
      </w:pPr>
      <w:r>
        <w:rPr>
          <w:rFonts w:hint="eastAsia" w:ascii="仿宋" w:hAnsi="仿宋" w:eastAsia="仿宋"/>
          <w:sz w:val="32"/>
          <w:szCs w:val="32"/>
        </w:rPr>
        <w:t xml:space="preserve">  </w:t>
      </w:r>
    </w:p>
    <w:p w14:paraId="490C2913">
      <w:pPr>
        <w:jc w:val="left"/>
        <w:rPr>
          <w:rFonts w:ascii="仿宋" w:hAnsi="仿宋" w:eastAsia="仿宋"/>
          <w:sz w:val="32"/>
          <w:szCs w:val="32"/>
        </w:rPr>
      </w:pPr>
      <w:r>
        <w:rPr>
          <w:rFonts w:hint="eastAsia" w:ascii="仿宋" w:hAnsi="仿宋" w:eastAsia="仿宋"/>
          <w:sz w:val="32"/>
          <w:szCs w:val="32"/>
        </w:rPr>
        <w:t xml:space="preserve"> 一、主要职能</w:t>
      </w:r>
    </w:p>
    <w:p w14:paraId="159D4AB2">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名称：永吉县结核病防治所</w:t>
      </w:r>
    </w:p>
    <w:p w14:paraId="62DF794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_GB2312" w:eastAsia="仿宋_GB2312"/>
          <w:sz w:val="32"/>
          <w:szCs w:val="32"/>
        </w:rPr>
        <w:t>公益一类</w:t>
      </w:r>
      <w:r>
        <w:rPr>
          <w:rFonts w:hint="eastAsia" w:ascii="仿宋" w:hAnsi="仿宋" w:eastAsia="仿宋"/>
          <w:kern w:val="0"/>
          <w:sz w:val="32"/>
          <w:szCs w:val="32"/>
        </w:rPr>
        <w:t>全额拨款事业单位</w:t>
      </w:r>
    </w:p>
    <w:p w14:paraId="2F2B8A7A">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kern w:val="0"/>
          <w:sz w:val="32"/>
          <w:szCs w:val="32"/>
        </w:rPr>
        <w:t>负责结核病防治规划的实施。负责全县结核病监测，以及结核病疫情的统计、分析和预测工作。负责全县结核病的诊断、治疗和归口管理工作。负责全县结核病人的诊断</w:t>
      </w:r>
      <w:r>
        <w:rPr>
          <w:rFonts w:ascii="仿宋" w:hAnsi="仿宋" w:eastAsia="仿宋"/>
          <w:kern w:val="0"/>
          <w:sz w:val="32"/>
          <w:szCs w:val="32"/>
        </w:rPr>
        <w:t xml:space="preserve"> </w:t>
      </w:r>
      <w:r>
        <w:rPr>
          <w:rFonts w:hint="eastAsia" w:ascii="仿宋" w:hAnsi="仿宋" w:eastAsia="仿宋"/>
          <w:kern w:val="0"/>
          <w:sz w:val="32"/>
          <w:szCs w:val="32"/>
        </w:rPr>
        <w:t>治疗和归口管理工作。对特定人群进行预防性结核病体检，对肺结核高发区进行流行病学调查或普查，开展结核病防治知识的宣传工作，培训结核病防治专业人员。</w:t>
      </w:r>
    </w:p>
    <w:p w14:paraId="5699AA03">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主要业务：</w:t>
      </w:r>
      <w:r>
        <w:rPr>
          <w:rFonts w:hint="eastAsia" w:ascii="仿宋" w:hAnsi="仿宋" w:eastAsia="仿宋"/>
          <w:kern w:val="0"/>
          <w:sz w:val="32"/>
          <w:szCs w:val="32"/>
        </w:rPr>
        <w:t>结核病预防与治疗</w:t>
      </w:r>
      <w:r>
        <w:rPr>
          <w:rFonts w:hint="eastAsia" w:ascii="仿宋" w:hAnsi="仿宋" w:eastAsia="仿宋"/>
          <w:kern w:val="0"/>
          <w:sz w:val="32"/>
          <w:szCs w:val="32"/>
          <w:lang w:eastAsia="zh-CN"/>
        </w:rPr>
        <w:t>。</w:t>
      </w:r>
    </w:p>
    <w:p w14:paraId="0505DBFF">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7553CF1">
      <w:pPr>
        <w:pStyle w:val="12"/>
        <w:ind w:firstLine="627" w:firstLineChars="196"/>
        <w:rPr>
          <w:rFonts w:ascii="仿宋_GB2312"/>
          <w:szCs w:val="32"/>
        </w:rPr>
      </w:pPr>
      <w:r>
        <w:rPr>
          <w:rFonts w:hint="eastAsia" w:ascii="仿宋" w:hAnsi="仿宋" w:eastAsia="仿宋"/>
          <w:kern w:val="0"/>
          <w:szCs w:val="32"/>
        </w:rPr>
        <w:t>机构设置包括：</w:t>
      </w:r>
      <w:r>
        <w:rPr>
          <w:rFonts w:hint="eastAsia" w:ascii="仿宋_GB2312"/>
          <w:szCs w:val="32"/>
        </w:rPr>
        <w:t>医疗科，防治科，财务科，办公室四个科室。</w:t>
      </w:r>
    </w:p>
    <w:p w14:paraId="4390C6EF">
      <w:pPr>
        <w:pStyle w:val="12"/>
        <w:ind w:firstLine="627" w:firstLineChars="196"/>
        <w:rPr>
          <w:rFonts w:ascii="仿宋" w:hAnsi="仿宋" w:eastAsia="仿宋"/>
          <w:kern w:val="0"/>
          <w:szCs w:val="32"/>
        </w:rPr>
      </w:pPr>
      <w:r>
        <w:rPr>
          <w:rFonts w:hint="eastAsia" w:ascii="仿宋" w:hAnsi="仿宋" w:eastAsia="仿宋"/>
          <w:kern w:val="0"/>
          <w:szCs w:val="32"/>
        </w:rPr>
        <w:t>人员情况：在职人员15人，编制数16人，领导职数2个。</w:t>
      </w:r>
    </w:p>
    <w:p w14:paraId="3B4D93BC">
      <w:pPr>
        <w:pStyle w:val="12"/>
        <w:ind w:firstLine="627" w:firstLineChars="196"/>
        <w:rPr>
          <w:rFonts w:ascii="仿宋" w:hAnsi="仿宋" w:eastAsia="仿宋"/>
          <w:kern w:val="0"/>
          <w:szCs w:val="32"/>
        </w:rPr>
      </w:pPr>
    </w:p>
    <w:p w14:paraId="091D1124">
      <w:pPr>
        <w:jc w:val="left"/>
        <w:rPr>
          <w:rFonts w:ascii="仿宋" w:hAnsi="仿宋" w:eastAsia="仿宋"/>
          <w:sz w:val="32"/>
          <w:szCs w:val="32"/>
        </w:rPr>
      </w:pPr>
      <w:r>
        <w:rPr>
          <w:rFonts w:hint="eastAsia" w:ascii="仿宋" w:hAnsi="仿宋" w:eastAsia="仿宋"/>
          <w:sz w:val="32"/>
          <w:szCs w:val="32"/>
        </w:rPr>
        <w:t xml:space="preserve">   </w:t>
      </w:r>
    </w:p>
    <w:p w14:paraId="7A9C53E0">
      <w:pPr>
        <w:jc w:val="left"/>
        <w:rPr>
          <w:rFonts w:ascii="仿宋" w:hAnsi="仿宋" w:eastAsia="仿宋"/>
          <w:sz w:val="32"/>
          <w:szCs w:val="32"/>
        </w:rPr>
      </w:pPr>
    </w:p>
    <w:p w14:paraId="4520DB79">
      <w:pPr>
        <w:jc w:val="left"/>
        <w:rPr>
          <w:rFonts w:ascii="仿宋" w:hAnsi="仿宋" w:eastAsia="仿宋"/>
          <w:sz w:val="32"/>
          <w:szCs w:val="32"/>
        </w:rPr>
      </w:pPr>
    </w:p>
    <w:p w14:paraId="307C43A8">
      <w:pPr>
        <w:jc w:val="left"/>
        <w:rPr>
          <w:rFonts w:ascii="仿宋" w:hAnsi="仿宋" w:eastAsia="仿宋"/>
          <w:sz w:val="32"/>
          <w:szCs w:val="32"/>
        </w:rPr>
      </w:pPr>
    </w:p>
    <w:p w14:paraId="6EFDC311">
      <w:pPr>
        <w:jc w:val="center"/>
        <w:rPr>
          <w:rFonts w:ascii="黑体" w:hAnsi="黑体" w:eastAsia="黑体"/>
          <w:sz w:val="32"/>
          <w:szCs w:val="32"/>
        </w:rPr>
      </w:pPr>
      <w:r>
        <w:rPr>
          <w:rFonts w:hint="eastAsia" w:ascii="黑体" w:hAnsi="黑体" w:eastAsia="黑体"/>
          <w:sz w:val="32"/>
          <w:szCs w:val="32"/>
        </w:rPr>
        <w:t>第二部分  情况说明</w:t>
      </w:r>
    </w:p>
    <w:p w14:paraId="72D7616D">
      <w:pPr>
        <w:jc w:val="left"/>
        <w:rPr>
          <w:rFonts w:ascii="仿宋" w:hAnsi="仿宋" w:eastAsia="仿宋"/>
          <w:sz w:val="32"/>
          <w:szCs w:val="32"/>
        </w:rPr>
      </w:pPr>
      <w:r>
        <w:rPr>
          <w:rFonts w:hint="eastAsia" w:ascii="仿宋" w:hAnsi="仿宋" w:eastAsia="仿宋"/>
          <w:sz w:val="32"/>
          <w:szCs w:val="32"/>
        </w:rPr>
        <w:t xml:space="preserve"> </w:t>
      </w:r>
    </w:p>
    <w:p w14:paraId="1AC5615A">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一、2025年收支预算总体情况</w:t>
      </w:r>
    </w:p>
    <w:p w14:paraId="05F88351">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2025年收支总预算 259.57万元，比 2024年预算数211.91万元增减 47.66万元，主要原因：2025年新入编1人工资类增加 。</w:t>
      </w:r>
    </w:p>
    <w:p w14:paraId="7ABE60F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二、2025年收入预算情况</w:t>
      </w:r>
    </w:p>
    <w:p w14:paraId="524B72B6">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2025年本单位收入预算259.57万元，其中：一般公共预算收入259.57万元，占100%；政府性基金收入 0万元，占0%。</w:t>
      </w:r>
    </w:p>
    <w:p w14:paraId="0A99B6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三、2025年支出预算情况</w:t>
      </w:r>
    </w:p>
    <w:p w14:paraId="730B1A9E">
      <w:pPr>
        <w:pStyle w:val="11"/>
        <w:ind w:firstLine="640" w:firstLineChars="200"/>
        <w:rPr>
          <w:rFonts w:ascii="仿宋" w:hAnsi="仿宋" w:eastAsia="仿宋"/>
          <w:sz w:val="32"/>
          <w:szCs w:val="32"/>
        </w:rPr>
      </w:pPr>
      <w:r>
        <w:rPr>
          <w:rFonts w:hint="eastAsia" w:ascii="仿宋" w:hAnsi="仿宋" w:eastAsia="仿宋"/>
          <w:sz w:val="32"/>
          <w:szCs w:val="32"/>
        </w:rPr>
        <w:t>2025年支出预算259.57万元，其中：基本支出 212.34万元，占82%；项目支出47.23万元，占18%。</w:t>
      </w:r>
    </w:p>
    <w:p w14:paraId="5F41857A">
      <w:pPr>
        <w:pStyle w:val="11"/>
        <w:ind w:firstLine="640" w:firstLineChars="200"/>
        <w:jc w:val="left"/>
        <w:rPr>
          <w:rFonts w:ascii="楷体" w:hAnsi="楷体" w:eastAsia="楷体"/>
          <w:sz w:val="32"/>
          <w:szCs w:val="32"/>
        </w:rPr>
      </w:pPr>
      <w:r>
        <w:rPr>
          <w:rFonts w:hint="eastAsia" w:ascii="楷体" w:hAnsi="楷体" w:eastAsia="楷体"/>
          <w:sz w:val="32"/>
          <w:szCs w:val="32"/>
        </w:rPr>
        <w:t>四、2025年财政拨款收支预算情况</w:t>
      </w:r>
    </w:p>
    <w:p w14:paraId="485FF620">
      <w:pPr>
        <w:pStyle w:val="11"/>
        <w:ind w:firstLine="640" w:firstLineChars="200"/>
        <w:rPr>
          <w:rFonts w:ascii="仿宋" w:hAnsi="仿宋" w:eastAsia="仿宋"/>
          <w:sz w:val="32"/>
          <w:szCs w:val="32"/>
        </w:rPr>
      </w:pPr>
      <w:r>
        <w:rPr>
          <w:rFonts w:hint="eastAsia" w:ascii="仿宋" w:hAnsi="仿宋" w:eastAsia="仿宋"/>
          <w:sz w:val="32"/>
          <w:szCs w:val="32"/>
        </w:rPr>
        <w:t>2025年财政拨款收支总预算259.57万元，其中：本年收入 0 万元。本年支出259.57万元，支出包括：一般公共服务支出0万元，社会保障和就业支出21.67万元，卫生健康支出221.36万元，住房保障支出16.54万元。</w:t>
      </w:r>
    </w:p>
    <w:p w14:paraId="611E69C0">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五、2025</w:t>
      </w:r>
      <w:r>
        <w:rPr>
          <w:rFonts w:hint="eastAsia" w:ascii="楷体" w:hAnsi="楷体" w:eastAsia="楷体"/>
          <w:kern w:val="0"/>
          <w:sz w:val="32"/>
          <w:szCs w:val="32"/>
        </w:rPr>
        <w:t>年一般公共预算支出情况</w:t>
      </w:r>
    </w:p>
    <w:p w14:paraId="0E032342">
      <w:pPr>
        <w:ind w:firstLine="640" w:firstLineChars="200"/>
        <w:rPr>
          <w:rFonts w:ascii="仿宋" w:hAnsi="仿宋" w:eastAsia="仿宋"/>
          <w:sz w:val="32"/>
          <w:szCs w:val="32"/>
        </w:rPr>
      </w:pPr>
      <w:r>
        <w:rPr>
          <w:rFonts w:hint="eastAsia" w:ascii="仿宋" w:hAnsi="仿宋" w:eastAsia="仿宋"/>
          <w:sz w:val="32"/>
          <w:szCs w:val="32"/>
        </w:rPr>
        <w:t>2025年一般公共预算当年拨款259.57万元，其中：基本支出212.34万元，占82%；项目支出47.23万元，占18%。基本支出中，人员经费187.86万元，占88%；公用经费24.48万元，占12%。</w:t>
      </w:r>
    </w:p>
    <w:p w14:paraId="6E6E6E55">
      <w:pPr>
        <w:ind w:firstLine="640" w:firstLineChars="200"/>
        <w:rPr>
          <w:rFonts w:ascii="仿宋" w:hAnsi="仿宋" w:eastAsia="仿宋"/>
          <w:sz w:val="32"/>
          <w:szCs w:val="32"/>
        </w:rPr>
      </w:pPr>
      <w:r>
        <w:rPr>
          <w:rFonts w:hint="eastAsia" w:ascii="仿宋" w:hAnsi="仿宋" w:eastAsia="仿宋"/>
          <w:sz w:val="32"/>
          <w:szCs w:val="32"/>
        </w:rPr>
        <w:t>一般公共服务（类）支出 0万元，占0%，主要用于：。</w:t>
      </w:r>
    </w:p>
    <w:p w14:paraId="3653F1C2">
      <w:pPr>
        <w:ind w:firstLine="640" w:firstLineChars="200"/>
        <w:rPr>
          <w:rFonts w:ascii="仿宋" w:hAnsi="仿宋" w:eastAsia="仿宋"/>
          <w:sz w:val="32"/>
          <w:szCs w:val="32"/>
        </w:rPr>
      </w:pPr>
      <w:r>
        <w:rPr>
          <w:rFonts w:hint="eastAsia" w:ascii="仿宋" w:hAnsi="仿宋" w:eastAsia="仿宋"/>
          <w:sz w:val="32"/>
          <w:szCs w:val="32"/>
        </w:rPr>
        <w:t>社会保障和就业（类）支出21.67 万元，占8%，主要用于：社会养老保险缴费支出。</w:t>
      </w:r>
    </w:p>
    <w:p w14:paraId="188E9394">
      <w:pPr>
        <w:ind w:firstLine="640" w:firstLineChars="200"/>
        <w:rPr>
          <w:rFonts w:ascii="仿宋" w:hAnsi="仿宋" w:eastAsia="仿宋"/>
          <w:sz w:val="32"/>
          <w:szCs w:val="32"/>
        </w:rPr>
      </w:pPr>
      <w:r>
        <w:rPr>
          <w:rFonts w:hint="eastAsia" w:ascii="仿宋" w:hAnsi="仿宋" w:eastAsia="仿宋"/>
          <w:sz w:val="32"/>
          <w:szCs w:val="32"/>
        </w:rPr>
        <w:t>卫生健康（类）支出221.36万元，占85%，主要用于：人员经费工资福利支出，公用经费支出。</w:t>
      </w:r>
    </w:p>
    <w:p w14:paraId="132D7FE8">
      <w:pPr>
        <w:ind w:firstLine="640" w:firstLineChars="200"/>
        <w:rPr>
          <w:rFonts w:ascii="仿宋" w:hAnsi="仿宋" w:eastAsia="仿宋"/>
          <w:sz w:val="32"/>
          <w:szCs w:val="32"/>
        </w:rPr>
      </w:pPr>
      <w:r>
        <w:rPr>
          <w:rFonts w:hint="eastAsia" w:ascii="仿宋" w:hAnsi="仿宋" w:eastAsia="仿宋"/>
          <w:sz w:val="32"/>
          <w:szCs w:val="32"/>
        </w:rPr>
        <w:t>住房保障（类）支出16.54万元，占7%，主要用于：在职职工住房公积金支出。</w:t>
      </w:r>
    </w:p>
    <w:p w14:paraId="56D65705">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六、2025年一般公共预算基本支出情况</w:t>
      </w:r>
    </w:p>
    <w:p w14:paraId="3D58E737">
      <w:pPr>
        <w:ind w:firstLine="640" w:firstLineChars="200"/>
        <w:rPr>
          <w:rFonts w:ascii="仿宋" w:hAnsi="仿宋" w:eastAsia="仿宋"/>
          <w:sz w:val="32"/>
          <w:szCs w:val="32"/>
        </w:rPr>
      </w:pPr>
      <w:r>
        <w:rPr>
          <w:rFonts w:hint="eastAsia" w:ascii="仿宋" w:hAnsi="仿宋" w:eastAsia="仿宋"/>
          <w:sz w:val="32"/>
          <w:szCs w:val="32"/>
        </w:rPr>
        <w:t>2025年一般公共预算基本支出212.34万元，其中：</w:t>
      </w:r>
    </w:p>
    <w:p w14:paraId="3F03A693">
      <w:pPr>
        <w:ind w:firstLine="640" w:firstLineChars="200"/>
        <w:rPr>
          <w:rFonts w:ascii="仿宋" w:hAnsi="仿宋" w:eastAsia="仿宋"/>
          <w:sz w:val="32"/>
          <w:szCs w:val="32"/>
        </w:rPr>
      </w:pPr>
      <w:r>
        <w:rPr>
          <w:rFonts w:hint="eastAsia" w:ascii="仿宋" w:hAnsi="仿宋" w:eastAsia="仿宋"/>
          <w:sz w:val="32"/>
          <w:szCs w:val="32"/>
        </w:rPr>
        <w:t>人员经费187.86万元，主要包括：基本工资77.13万元、津贴补贴11.6万元、奖金、绩效工资49.12万元、机关事业单位基本养老保险缴费21.67万元、职工基本医疗保险缴费10.02万元、其他社会保障缴费1.37万元、住房公积金16.55万元、其他工资福利支出、离退休费、生活补助、其他对个人和家庭补助支出0.4万元等；</w:t>
      </w:r>
    </w:p>
    <w:p w14:paraId="4B15312F">
      <w:pPr>
        <w:pStyle w:val="9"/>
        <w:ind w:firstLine="627" w:firstLineChars="196"/>
        <w:rPr>
          <w:rFonts w:ascii="仿宋" w:hAnsi="仿宋" w:eastAsia="仿宋"/>
          <w:kern w:val="0"/>
          <w:sz w:val="32"/>
          <w:szCs w:val="32"/>
        </w:rPr>
      </w:pPr>
      <w:r>
        <w:rPr>
          <w:rFonts w:hint="eastAsia" w:ascii="仿宋" w:hAnsi="仿宋" w:eastAsia="仿宋"/>
          <w:sz w:val="32"/>
          <w:szCs w:val="32"/>
        </w:rPr>
        <w:t>公用经费24.48万元，主要包括：办公费2.1万元、印刷费0.5万元、水费2.65万元、电费1.95万元、邮电费4.32万元、取暖费4.06万元、差旅费0.5万元、维修维护费0.5万元、会议费、公务接待费0.25万元、工会经费2.62万元、公务用车运行维护费3万元等。</w:t>
      </w:r>
    </w:p>
    <w:p w14:paraId="4F311168">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七、2025年一般公共预算财政拨款“三公经费”情况</w:t>
      </w:r>
    </w:p>
    <w:p w14:paraId="1046BF7D">
      <w:pPr>
        <w:pStyle w:val="9"/>
        <w:ind w:firstLine="627" w:firstLineChars="196"/>
        <w:rPr>
          <w:rFonts w:ascii="仿宋" w:hAnsi="仿宋" w:eastAsia="仿宋"/>
          <w:kern w:val="0"/>
          <w:sz w:val="32"/>
          <w:szCs w:val="32"/>
        </w:rPr>
      </w:pPr>
      <w:r>
        <w:rPr>
          <w:rFonts w:hint="eastAsia" w:ascii="仿宋" w:hAnsi="仿宋" w:eastAsia="仿宋"/>
          <w:kern w:val="0"/>
          <w:sz w:val="32"/>
          <w:szCs w:val="32"/>
        </w:rPr>
        <w:t>2025年“三公”经费预算数3.25万元，比2024年预算减少 0万元。其中：</w:t>
      </w:r>
    </w:p>
    <w:p w14:paraId="193C7481">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2024年预算数相同。</w:t>
      </w:r>
    </w:p>
    <w:p w14:paraId="61B31BB1">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 0.25万元，比 2024年预算数减少 0 万元。</w:t>
      </w:r>
    </w:p>
    <w:p w14:paraId="1F534982">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 3万元，比 2024 年预算数减</w:t>
      </w:r>
    </w:p>
    <w:p w14:paraId="2FB87351">
      <w:pPr>
        <w:pStyle w:val="9"/>
        <w:rPr>
          <w:rFonts w:ascii="仿宋" w:hAnsi="仿宋" w:eastAsia="仿宋"/>
          <w:kern w:val="0"/>
          <w:sz w:val="32"/>
          <w:szCs w:val="32"/>
        </w:rPr>
      </w:pPr>
      <w:r>
        <w:rPr>
          <w:rFonts w:hint="eastAsia" w:ascii="仿宋" w:hAnsi="仿宋" w:eastAsia="仿宋"/>
          <w:kern w:val="0"/>
          <w:sz w:val="32"/>
          <w:szCs w:val="32"/>
        </w:rPr>
        <w:t>少 0万元。其中，公务用车运行维护费 3万元，比 2024年减少 0万元，公务用车购置 0 万元，比2024年减少 0万元。</w:t>
      </w:r>
    </w:p>
    <w:p w14:paraId="2EC283D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八、2025年政府性基金预算支出情况</w:t>
      </w:r>
    </w:p>
    <w:p w14:paraId="0C4E7CC3">
      <w:pPr>
        <w:ind w:firstLine="640" w:firstLineChars="200"/>
        <w:jc w:val="left"/>
        <w:rPr>
          <w:rFonts w:ascii="仿宋" w:hAnsi="仿宋" w:eastAsia="仿宋"/>
          <w:sz w:val="32"/>
          <w:szCs w:val="32"/>
        </w:rPr>
      </w:pPr>
      <w:r>
        <w:rPr>
          <w:rFonts w:hint="eastAsia" w:ascii="仿宋" w:hAnsi="仿宋" w:eastAsia="仿宋"/>
          <w:sz w:val="32"/>
          <w:szCs w:val="32"/>
        </w:rPr>
        <w:t>2025年本单位无政府性基金预算支出。</w:t>
      </w:r>
    </w:p>
    <w:p w14:paraId="77C72B10">
      <w:pPr>
        <w:pStyle w:val="9"/>
        <w:ind w:firstLine="640"/>
        <w:rPr>
          <w:rFonts w:ascii="楷体" w:hAnsi="楷体" w:eastAsia="楷体" w:cs="楷体"/>
          <w:sz w:val="32"/>
          <w:szCs w:val="32"/>
        </w:rPr>
      </w:pPr>
      <w:r>
        <w:rPr>
          <w:rFonts w:hint="eastAsia" w:ascii="楷体" w:hAnsi="楷体" w:eastAsia="楷体" w:cs="楷体"/>
          <w:sz w:val="32"/>
          <w:szCs w:val="32"/>
        </w:rPr>
        <w:t>九、2025年国有资本经营预算支出情况</w:t>
      </w:r>
    </w:p>
    <w:p w14:paraId="568D5E1D">
      <w:pPr>
        <w:ind w:firstLine="640" w:firstLineChars="200"/>
        <w:jc w:val="left"/>
        <w:rPr>
          <w:rFonts w:ascii="仿宋" w:hAnsi="仿宋" w:eastAsia="仿宋"/>
          <w:sz w:val="32"/>
          <w:szCs w:val="32"/>
        </w:rPr>
      </w:pPr>
      <w:r>
        <w:rPr>
          <w:rFonts w:hint="eastAsia" w:ascii="仿宋" w:hAnsi="仿宋" w:eastAsia="仿宋"/>
          <w:sz w:val="32"/>
          <w:szCs w:val="32"/>
        </w:rPr>
        <w:t>2025年本单位无国有资本经营预算支出。</w:t>
      </w:r>
    </w:p>
    <w:p w14:paraId="465043EB">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60F04BB6">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676053EF">
      <w:pPr>
        <w:pStyle w:val="8"/>
        <w:ind w:firstLine="640"/>
        <w:rPr>
          <w:rFonts w:ascii="仿宋" w:hAnsi="仿宋" w:eastAsia="仿宋"/>
          <w:sz w:val="32"/>
          <w:szCs w:val="32"/>
        </w:rPr>
      </w:pPr>
      <w:r>
        <w:rPr>
          <w:rFonts w:hint="eastAsia" w:ascii="仿宋" w:hAnsi="仿宋" w:eastAsia="仿宋"/>
          <w:sz w:val="32"/>
          <w:szCs w:val="32"/>
        </w:rPr>
        <w:t>2025年本单位机关运行经费财政拨款预算0 万元，比 2024年预算增加/减少0万元，增长/下降0%。</w:t>
      </w:r>
    </w:p>
    <w:p w14:paraId="0DE65BD6">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625F9F80">
      <w:pPr>
        <w:ind w:firstLine="640" w:firstLineChars="200"/>
        <w:jc w:val="left"/>
        <w:rPr>
          <w:rFonts w:ascii="仿宋" w:hAnsi="仿宋" w:eastAsia="仿宋"/>
          <w:sz w:val="32"/>
          <w:szCs w:val="32"/>
        </w:rPr>
      </w:pPr>
      <w:r>
        <w:rPr>
          <w:rFonts w:hint="eastAsia" w:ascii="仿宋" w:hAnsi="仿宋" w:eastAsia="仿宋"/>
          <w:sz w:val="32"/>
          <w:szCs w:val="32"/>
        </w:rPr>
        <w:t>2025年政府采购预算总额0万元，其中：政府采购办公设备和其他设备预算0万元，政府采购工程预算 0万元，政府采购服务预算 0万元。</w:t>
      </w:r>
    </w:p>
    <w:p w14:paraId="6BC50F60">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4ACFF326">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截至2025年1月，部门本级和所属各预算单位共有车辆1辆，其中，领导干部用车0辆、一般公务用车 1 辆,一般执法执勤用车 0辆、特种专业技术用车 0辆、其他用车0辆，价值200万元以上大型设备 0台（套）。</w:t>
      </w:r>
    </w:p>
    <w:p w14:paraId="22957338">
      <w:pPr>
        <w:pStyle w:val="8"/>
        <w:ind w:firstLine="640"/>
        <w:jc w:val="left"/>
        <w:rPr>
          <w:rFonts w:ascii="仿宋" w:hAnsi="仿宋" w:eastAsia="仿宋"/>
          <w:sz w:val="32"/>
          <w:szCs w:val="32"/>
        </w:rPr>
      </w:pPr>
      <w:r>
        <w:rPr>
          <w:rFonts w:hint="eastAsia" w:ascii="仿宋" w:hAnsi="仿宋" w:eastAsia="仿宋"/>
          <w:sz w:val="32"/>
          <w:szCs w:val="32"/>
        </w:rPr>
        <w:t>2025年部门预算安排购置车辆及价值200万元以上大型设备 0 万元。</w:t>
      </w:r>
    </w:p>
    <w:p w14:paraId="70237EDA">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1C5C3391">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按照全面实施预算绩效管理的要求，结合本部门职能和重点工作，2025年将 2个项目支出的绩效目标和指标向社会公开，涉及金额31.07万元。</w:t>
      </w:r>
    </w:p>
    <w:p w14:paraId="62BF55D5">
      <w:pPr>
        <w:jc w:val="center"/>
        <w:rPr>
          <w:rFonts w:ascii="仿宋" w:hAnsi="仿宋" w:eastAsia="仿宋"/>
          <w:sz w:val="32"/>
          <w:szCs w:val="32"/>
        </w:rPr>
      </w:pPr>
    </w:p>
    <w:p w14:paraId="06129190">
      <w:pPr>
        <w:jc w:val="center"/>
        <w:rPr>
          <w:rFonts w:hint="eastAsia" w:ascii="黑体" w:hAnsi="黑体" w:eastAsia="黑体"/>
          <w:sz w:val="32"/>
          <w:szCs w:val="32"/>
        </w:rPr>
      </w:pPr>
    </w:p>
    <w:p w14:paraId="5C16984E">
      <w:pPr>
        <w:jc w:val="center"/>
        <w:rPr>
          <w:rFonts w:hint="eastAsia" w:ascii="黑体" w:hAnsi="黑体" w:eastAsia="黑体"/>
          <w:sz w:val="32"/>
          <w:szCs w:val="32"/>
        </w:rPr>
      </w:pPr>
    </w:p>
    <w:p w14:paraId="3733270F">
      <w:pPr>
        <w:jc w:val="center"/>
        <w:rPr>
          <w:rFonts w:hint="eastAsia" w:ascii="黑体" w:hAnsi="黑体" w:eastAsia="黑体"/>
          <w:sz w:val="32"/>
          <w:szCs w:val="32"/>
        </w:rPr>
      </w:pPr>
    </w:p>
    <w:p w14:paraId="47B80AA6">
      <w:pPr>
        <w:jc w:val="center"/>
        <w:rPr>
          <w:rFonts w:hint="eastAsia" w:ascii="黑体" w:hAnsi="黑体" w:eastAsia="黑体"/>
          <w:sz w:val="32"/>
          <w:szCs w:val="32"/>
        </w:rPr>
      </w:pPr>
    </w:p>
    <w:p w14:paraId="1970F565">
      <w:pPr>
        <w:jc w:val="center"/>
        <w:rPr>
          <w:rFonts w:hint="eastAsia" w:ascii="黑体" w:hAnsi="黑体" w:eastAsia="黑体"/>
          <w:sz w:val="32"/>
          <w:szCs w:val="32"/>
        </w:rPr>
      </w:pPr>
    </w:p>
    <w:p w14:paraId="1F750B1B">
      <w:pPr>
        <w:jc w:val="center"/>
        <w:rPr>
          <w:rFonts w:hint="eastAsia" w:ascii="黑体" w:hAnsi="黑体" w:eastAsia="黑体"/>
          <w:sz w:val="32"/>
          <w:szCs w:val="32"/>
        </w:rPr>
      </w:pPr>
    </w:p>
    <w:p w14:paraId="2CD4742A">
      <w:pPr>
        <w:jc w:val="center"/>
        <w:rPr>
          <w:rFonts w:hint="eastAsia" w:ascii="黑体" w:hAnsi="黑体" w:eastAsia="黑体"/>
          <w:sz w:val="32"/>
          <w:szCs w:val="32"/>
        </w:rPr>
      </w:pPr>
    </w:p>
    <w:p w14:paraId="392EA39B">
      <w:pPr>
        <w:jc w:val="center"/>
        <w:rPr>
          <w:rFonts w:hint="eastAsia" w:ascii="黑体" w:hAnsi="黑体" w:eastAsia="黑体"/>
          <w:sz w:val="32"/>
          <w:szCs w:val="32"/>
        </w:rPr>
      </w:pPr>
    </w:p>
    <w:p w14:paraId="4FAEEBA9">
      <w:pPr>
        <w:jc w:val="center"/>
        <w:rPr>
          <w:rFonts w:hint="eastAsia" w:ascii="黑体" w:hAnsi="黑体" w:eastAsia="黑体"/>
          <w:sz w:val="32"/>
          <w:szCs w:val="32"/>
        </w:rPr>
      </w:pPr>
    </w:p>
    <w:p w14:paraId="3B6D37FB">
      <w:pPr>
        <w:jc w:val="center"/>
        <w:rPr>
          <w:rFonts w:hint="eastAsia" w:ascii="黑体" w:hAnsi="黑体" w:eastAsia="黑体"/>
          <w:sz w:val="32"/>
          <w:szCs w:val="32"/>
        </w:rPr>
      </w:pPr>
    </w:p>
    <w:p w14:paraId="2CD7E1C2">
      <w:pPr>
        <w:jc w:val="center"/>
        <w:rPr>
          <w:rFonts w:ascii="黑体" w:hAnsi="黑体" w:eastAsia="黑体"/>
          <w:sz w:val="32"/>
          <w:szCs w:val="32"/>
        </w:rPr>
      </w:pPr>
      <w:r>
        <w:rPr>
          <w:rFonts w:hint="eastAsia" w:ascii="黑体" w:hAnsi="黑体" w:eastAsia="黑体"/>
          <w:sz w:val="32"/>
          <w:szCs w:val="32"/>
        </w:rPr>
        <w:t>第三部分  名词解释</w:t>
      </w:r>
    </w:p>
    <w:p w14:paraId="3806BD44">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0DD10EEC">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86E27DD">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55C2A885">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43958115">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082FBCF1">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1C5D103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057BBAA3">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4BD00065">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3977671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E3B2E29">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A4EE29C">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659BA7F">
      <w:pPr>
        <w:ind w:firstLine="640" w:firstLineChars="200"/>
        <w:rPr>
          <w:rFonts w:ascii="仿宋_GB2312" w:eastAsia="仿宋_GB2312"/>
          <w:sz w:val="32"/>
          <w:szCs w:val="32"/>
        </w:rPr>
      </w:pPr>
    </w:p>
    <w:p w14:paraId="032D0385">
      <w:pPr>
        <w:jc w:val="left"/>
        <w:rPr>
          <w:rFonts w:ascii="仿宋" w:hAnsi="仿宋" w:eastAsia="仿宋"/>
          <w:sz w:val="32"/>
          <w:szCs w:val="32"/>
        </w:rPr>
      </w:pPr>
      <w:r>
        <w:rPr>
          <w:rFonts w:hint="eastAsia" w:ascii="仿宋" w:hAnsi="仿宋" w:eastAsia="仿宋"/>
          <w:sz w:val="32"/>
          <w:szCs w:val="32"/>
        </w:rPr>
        <w:t xml:space="preserve"> </w:t>
      </w:r>
    </w:p>
    <w:p w14:paraId="596B7F55">
      <w:pPr>
        <w:jc w:val="left"/>
        <w:rPr>
          <w:rFonts w:ascii="仿宋" w:hAnsi="仿宋" w:eastAsia="仿宋"/>
          <w:sz w:val="32"/>
          <w:szCs w:val="32"/>
        </w:rPr>
      </w:pPr>
    </w:p>
    <w:p w14:paraId="336CF973">
      <w:pPr>
        <w:jc w:val="left"/>
        <w:rPr>
          <w:rFonts w:ascii="仿宋" w:hAnsi="仿宋" w:eastAsia="仿宋"/>
          <w:sz w:val="32"/>
          <w:szCs w:val="32"/>
        </w:rPr>
      </w:pPr>
    </w:p>
    <w:p w14:paraId="58544F67">
      <w:pPr>
        <w:jc w:val="center"/>
        <w:rPr>
          <w:rFonts w:hint="eastAsia" w:ascii="仿宋" w:hAnsi="仿宋" w:eastAsia="仿宋"/>
          <w:sz w:val="32"/>
          <w:szCs w:val="32"/>
        </w:rPr>
      </w:pPr>
    </w:p>
    <w:p w14:paraId="347425E6">
      <w:pPr>
        <w:jc w:val="center"/>
        <w:rPr>
          <w:rFonts w:hint="eastAsia" w:ascii="仿宋" w:hAnsi="仿宋" w:eastAsia="仿宋"/>
          <w:sz w:val="32"/>
          <w:szCs w:val="32"/>
        </w:rPr>
      </w:pPr>
    </w:p>
    <w:p w14:paraId="3438F77E">
      <w:pPr>
        <w:jc w:val="center"/>
        <w:rPr>
          <w:rFonts w:hint="eastAsia" w:ascii="仿宋" w:hAnsi="仿宋" w:eastAsia="仿宋"/>
          <w:sz w:val="32"/>
          <w:szCs w:val="32"/>
        </w:rPr>
      </w:pPr>
    </w:p>
    <w:p w14:paraId="0D7694DE">
      <w:pPr>
        <w:jc w:val="center"/>
        <w:rPr>
          <w:rFonts w:ascii="仿宋" w:hAnsi="仿宋" w:eastAsia="仿宋"/>
          <w:b/>
          <w:bCs/>
          <w:sz w:val="32"/>
          <w:szCs w:val="32"/>
        </w:rPr>
      </w:pPr>
      <w:bookmarkStart w:id="0" w:name="_GoBack"/>
      <w:r>
        <w:rPr>
          <w:rFonts w:hint="eastAsia" w:ascii="仿宋" w:hAnsi="仿宋" w:eastAsia="仿宋"/>
          <w:b/>
          <w:bCs/>
          <w:sz w:val="32"/>
          <w:szCs w:val="32"/>
        </w:rPr>
        <w:t>第四部分  预算表格</w:t>
      </w:r>
    </w:p>
    <w:bookmarkEnd w:id="0"/>
    <w:p w14:paraId="209E93E6">
      <w:pPr>
        <w:ind w:firstLine="640" w:firstLineChars="200"/>
        <w:jc w:val="left"/>
        <w:rPr>
          <w:rFonts w:ascii="仿宋" w:hAnsi="仿宋" w:eastAsia="仿宋"/>
          <w:sz w:val="32"/>
          <w:szCs w:val="32"/>
        </w:rPr>
      </w:pPr>
      <w:r>
        <w:rPr>
          <w:rFonts w:hint="eastAsia" w:ascii="仿宋" w:hAnsi="仿宋" w:eastAsia="仿宋"/>
          <w:sz w:val="32"/>
          <w:szCs w:val="32"/>
        </w:rPr>
        <w:t>2025年部门预算表套表（预算一体化系统报表查询模块中提取相应数据）。</w:t>
      </w:r>
    </w:p>
    <w:p w14:paraId="30AA4043">
      <w:pPr>
        <w:rPr>
          <w:rFonts w:ascii="仿宋" w:hAnsi="仿宋" w:eastAsia="仿宋"/>
          <w:sz w:val="32"/>
          <w:szCs w:val="32"/>
        </w:rPr>
      </w:pPr>
    </w:p>
    <w:p w14:paraId="791A2D01">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E491A"/>
    <w:rsid w:val="002F1115"/>
    <w:rsid w:val="002F3222"/>
    <w:rsid w:val="00357E92"/>
    <w:rsid w:val="00380C14"/>
    <w:rsid w:val="003813DA"/>
    <w:rsid w:val="003B5F35"/>
    <w:rsid w:val="004176EB"/>
    <w:rsid w:val="004763A7"/>
    <w:rsid w:val="00482664"/>
    <w:rsid w:val="004C1015"/>
    <w:rsid w:val="0051451E"/>
    <w:rsid w:val="00567D16"/>
    <w:rsid w:val="00572D27"/>
    <w:rsid w:val="00576DB1"/>
    <w:rsid w:val="0059597A"/>
    <w:rsid w:val="005C384D"/>
    <w:rsid w:val="005D78F4"/>
    <w:rsid w:val="005F0428"/>
    <w:rsid w:val="00622E82"/>
    <w:rsid w:val="006954BF"/>
    <w:rsid w:val="006A1F35"/>
    <w:rsid w:val="006E6AAB"/>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D7C5E"/>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56859"/>
    <w:rsid w:val="00C61D37"/>
    <w:rsid w:val="00CB2087"/>
    <w:rsid w:val="00CC2C0E"/>
    <w:rsid w:val="00CE6FE2"/>
    <w:rsid w:val="00CF3E35"/>
    <w:rsid w:val="00CF7FF2"/>
    <w:rsid w:val="00D463CF"/>
    <w:rsid w:val="00D54CC0"/>
    <w:rsid w:val="00DA2F9D"/>
    <w:rsid w:val="00DA5EFE"/>
    <w:rsid w:val="00DB4298"/>
    <w:rsid w:val="00DC6B72"/>
    <w:rsid w:val="00DF38C6"/>
    <w:rsid w:val="00E168F9"/>
    <w:rsid w:val="00E20B1E"/>
    <w:rsid w:val="00E343EE"/>
    <w:rsid w:val="00E53AE6"/>
    <w:rsid w:val="00EA359C"/>
    <w:rsid w:val="00EA3A24"/>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799478C"/>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2745</Words>
  <Characters>3056</Characters>
  <Lines>23</Lines>
  <Paragraphs>6</Paragraphs>
  <TotalTime>181</TotalTime>
  <ScaleCrop>false</ScaleCrop>
  <LinksUpToDate>false</LinksUpToDate>
  <CharactersWithSpaces>3162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2025-04-05T04:06:19Z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eyJoZGlkIjoiMDhkYzg1NTUzYmJjMTk4YzUzMDI3MWJkM2E2YTZhMzYiLCJ1c2VySWQiOiI2OTg4ODUwMDkifQ==</vt:lpwstr>
  </property>
</Properties>
</file>