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永吉自然资源局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val="en-US" w:eastAsia="zh-CN"/>
        </w:rPr>
        <w:t>永吉县自然资源局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ind w:firstLine="640" w:firstLineChars="200"/>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0"/>
        </w:numPr>
        <w:ind w:left="567" w:leftChars="0" w:firstLine="320" w:firstLineChars="100"/>
        <w:rPr>
          <w:rFonts w:hint="eastAsia" w:ascii="仿宋" w:hAnsi="仿宋" w:eastAsia="仿宋"/>
          <w:sz w:val="32"/>
          <w:szCs w:val="32"/>
        </w:rPr>
      </w:pPr>
      <w:r>
        <w:rPr>
          <w:rFonts w:hint="eastAsia" w:ascii="仿宋" w:hAnsi="仿宋" w:eastAsia="仿宋"/>
          <w:sz w:val="32"/>
          <w:szCs w:val="32"/>
          <w:lang w:val="en-US" w:eastAsia="zh-CN"/>
        </w:rPr>
        <w:t>一、</w:t>
      </w:r>
      <w:r>
        <w:rPr>
          <w:rFonts w:hint="eastAsia" w:ascii="仿宋" w:hAnsi="仿宋" w:eastAsia="仿宋"/>
          <w:sz w:val="32"/>
          <w:szCs w:val="32"/>
        </w:rPr>
        <w:t>主要职能</w:t>
      </w:r>
    </w:p>
    <w:p w14:paraId="0F6E16B9">
      <w:pPr>
        <w:pStyle w:val="8"/>
        <w:numPr>
          <w:ilvl w:val="0"/>
          <w:numId w:val="0"/>
        </w:numPr>
        <w:ind w:left="567" w:leftChars="0" w:firstLine="320" w:firstLineChars="100"/>
        <w:rPr>
          <w:rFonts w:ascii="仿宋" w:hAnsi="仿宋" w:eastAsia="仿宋"/>
          <w:sz w:val="32"/>
          <w:szCs w:val="32"/>
        </w:rPr>
      </w:pPr>
      <w:r>
        <w:rPr>
          <w:rFonts w:hint="eastAsia" w:ascii="仿宋" w:hAnsi="仿宋" w:eastAsia="仿宋"/>
          <w:sz w:val="32"/>
          <w:szCs w:val="32"/>
          <w:lang w:val="en-US" w:eastAsia="zh-CN"/>
        </w:rPr>
        <w:t>二、</w:t>
      </w:r>
      <w:r>
        <w:rPr>
          <w:rFonts w:hint="eastAsia" w:ascii="仿宋" w:hAnsi="仿宋" w:eastAsia="仿宋"/>
          <w:sz w:val="32"/>
          <w:szCs w:val="32"/>
        </w:rPr>
        <w:t>机构设置</w:t>
      </w:r>
    </w:p>
    <w:p w14:paraId="5EE08171">
      <w:pPr>
        <w:ind w:firstLine="640" w:firstLineChars="200"/>
        <w:rPr>
          <w:rFonts w:ascii="仿宋" w:hAnsi="仿宋" w:eastAsia="仿宋"/>
          <w:sz w:val="32"/>
          <w:szCs w:val="32"/>
        </w:rPr>
      </w:pPr>
      <w:r>
        <w:rPr>
          <w:rFonts w:hint="eastAsia" w:ascii="仿宋" w:hAnsi="仿宋" w:eastAsia="仿宋"/>
          <w:sz w:val="32"/>
          <w:szCs w:val="32"/>
        </w:rPr>
        <w:t>第二部分  情况说明</w:t>
      </w:r>
    </w:p>
    <w:p w14:paraId="6F11FF87">
      <w:pPr>
        <w:ind w:firstLine="640" w:firstLineChars="200"/>
        <w:rPr>
          <w:rFonts w:ascii="仿宋" w:hAnsi="仿宋" w:eastAsia="仿宋"/>
          <w:sz w:val="32"/>
          <w:szCs w:val="32"/>
        </w:rPr>
      </w:pPr>
      <w:r>
        <w:rPr>
          <w:rFonts w:hint="eastAsia" w:ascii="仿宋" w:hAnsi="仿宋" w:eastAsia="仿宋"/>
          <w:sz w:val="32"/>
          <w:szCs w:val="32"/>
        </w:rPr>
        <w:t xml:space="preserve">第三部分  名词解释 </w:t>
      </w:r>
    </w:p>
    <w:p w14:paraId="7BA36606">
      <w:pPr>
        <w:ind w:firstLine="640" w:firstLineChars="200"/>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1"/>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1"/>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1"/>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1"/>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1"/>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1"/>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1"/>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1"/>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1"/>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1"/>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E367E98">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永吉县自然资源局</w:t>
      </w:r>
    </w:p>
    <w:p w14:paraId="2D7B63B8">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行政机关</w:t>
      </w:r>
    </w:p>
    <w:p w14:paraId="3E2F935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主要职能：（一）履行全民所有土地、矿产、森林、草原、湿地、水等自然资源资产所有者职责和所有国土空间用途管制职责。贯彻执行国家自然资源和国土空间规划及测绘管理等方 面的法律法规，研究拟订规范性文件，并组织实施。</w:t>
      </w:r>
    </w:p>
    <w:p w14:paraId="5FB556B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组织全县自然资源调查监测评价工作。 </w:t>
      </w:r>
    </w:p>
    <w:p w14:paraId="73843FE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三）负责自然资源统一确权登记工作。制定全县各类自然资源和不动产统一确权登记、权籍调查、不动产测绘、争议调处、成果应用的制度、标准、规范。建立健全全县自然资源和不动产登记信息管理基础平台。负责自然资源和不动产登记资料收集、整理、共享、汇交管理等。组织监督全县自然资源和不动产确权登记工作。 </w:t>
      </w:r>
    </w:p>
    <w:p w14:paraId="559E989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四）负责自然资源资产有偿使用工作。建立全民所有自然资源资产统计制度，负责全民所有自然资源资产核算。编制全民所有自然资源资产负债表，拟订落实考核标准。承担全民所有自然资源资产划拨、出让、租赁、作价出资和土地储备工作，合理配置全民所有自然资源资产。负责自然资源资产价值评估管理，依法收缴相关资产收益。 </w:t>
      </w:r>
    </w:p>
    <w:p w14:paraId="249E891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五）负责自然资源的合理开发利用。组织拟订全县自然资源发展规划和战略，指导落实自然资源开发利用标准并组织实施，建立政府公示自然资源价格体系，组织开展自然资源分等定级价格评估，开展自然资源利用评价考核，促进节约集约利用。负责自然资源市场监管。组织研究自然资源管理涉及宏观调控、区域协调和城乡统筹的政策措施。 </w:t>
      </w:r>
    </w:p>
    <w:p w14:paraId="3F9B3D68">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六）负责建立空间规划体系并监督实施。推进主体功能区战略和制度的落实，组织编制并监督实施国土空间规划和相关专项规划。开展国土空间开发适宜性评价，建立国土空间规划实施监测、评估和预警体系。组织划定生态保护红线、永久基本农田、城镇开发边界等控制线，构建节约资源和保护环境的生产、生活、生态空间布局。建立健全国土空间用途管制制度，落实城乡规划政策并监督实施。组织拟订并实施土地等自然资源年度利用计划。负责土地等国土空间用途转用工作，负责土地征收征用管理。 </w:t>
      </w:r>
    </w:p>
    <w:p w14:paraId="2BD0C68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七）负责统筹国土空间生态修复。组织实施国土空间生态修复规划及有关生态修复重大工程。负责国土空间综合整治、土地整理复垦、矿山地质环境恢复治理等工作。组织实施生态保护补偿制度，制定合理利用社会资金进行生态修复的政策措施，组织指导实施重大项目。</w:t>
      </w:r>
    </w:p>
    <w:p w14:paraId="6A5819C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八）负责组织实施最严格的耕地保护制度。贯彻执行耕地保护政策，负责耕地数量、质量、生态保护工作。组织实施耕地保护责任目标考核和永久基本农田特殊保护。落实耕地占补平衡制度，监督占用耕地补偿制度执行情况。 </w:t>
      </w:r>
    </w:p>
    <w:p w14:paraId="09CEC3D7">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九）负责管理地质勘查行业和全县地质工作。编制地质勘查规划并监督检查执行情况。管理地质勘查项目的实施工作。配合实施国家和省重大地质矿产勘查专项。负责地质灾害预防和治理，监督管理地下水过量开采及引发的地面沉降等地质问题。负责古生物化石的监督管理。 </w:t>
      </w:r>
    </w:p>
    <w:p w14:paraId="3367219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负责落实综合防灾减灾规划相关要求，组织编制地质灾害防治规划并指导实施。组织指导协调和监督地质灾害调查评价及隐患的普查、详查、排查。指导开展群测群防、专业监测和预报预警等工作，指导开展地质灾害工程治理工作。承担地质灾害应急救援的技术支撑工作。 </w:t>
      </w:r>
    </w:p>
    <w:p w14:paraId="0B2746B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（十一）负责矿产资源管理工作。负责矿产资源储量管理及压覆矿产资源核查。负责矿业权管理。会同有关部门落实保护性开采的特定矿种、优势矿产的调控及相关管理工作。监督指导矿产资源合理利用和保护。 </w:t>
      </w:r>
    </w:p>
    <w:p w14:paraId="6BCB48F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（十二）负责测绘地理信息管理工作。负责基础测绘和测绘行业管理。负责测绘资质资格与信用管理，监督管理全县地理信息安全和市场秩序。负责地理信息公共服务管理，负责测量标志保护。 </w:t>
      </w:r>
    </w:p>
    <w:p w14:paraId="68AFCE20">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三）推动自然资源领域科技发展。制定并实施全县自然资源领域科技创新发展和人才培养战略、规划和计划。负责管理自然资源标准化工作并监督实施。组织实施重大科技工程及创新能力建设，推进自然资源信息化和信息资料的公共服务。组织开展自然资源领域对外交流合作。 </w:t>
      </w:r>
    </w:p>
    <w:p w14:paraId="34BF52C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四）根据县委、县政府授权，对各乡镇（区）及有关部门落实党中央、国务院和省委、省政府、市委、市政府、县委、县政府关于自然资源和国土空间规划的重大方针政策、决策部署及法律法规执行情况进行督察。查处自然资源开发利用和国土空间规划及测绘重大违法案件。指导有关行政执法工作。 </w:t>
      </w:r>
    </w:p>
    <w:p w14:paraId="066892D1">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（十五）统一领导和管理县林业局。 </w:t>
      </w:r>
    </w:p>
    <w:p w14:paraId="378A291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（十六）承担主管行业领域的安全生产管理职责，指导督促企事业单位加强安全管理。依照有关法律、法规的规定 履行安全生产监督管理职责，开展监管执法工作。 </w:t>
      </w:r>
    </w:p>
    <w:p w14:paraId="778F5E06">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（十七）完成县委、县政府交办的其他任务。 </w:t>
      </w:r>
    </w:p>
    <w:p w14:paraId="5B5F6126">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（十八）职能转变。县自然资源局要落实党中央和省委、 省政府、市委、市政府、县委、县政府关于统一行使全民所有自然资源资产所有者职责及统一行使所有国土空间用途管制和生态保护修复职责的要求，强化统筹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有关行政审批事项、强化监管力度，充分发挥市场对资源配置的决定性作用，更好发挥政府作用，强化自然资源管理规则、标准、制度的约束性作用，推进自然资源确权登记和评估的便民高效。 </w:t>
      </w:r>
    </w:p>
    <w:p w14:paraId="524700C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（十九）有关职责分工。与县应急管理局在自然灾害防救方面的职责分工。</w:t>
      </w:r>
    </w:p>
    <w:p w14:paraId="26233CC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 xml:space="preserve">（1）县自然资源局负责落实综合防灾减灾规划相关要求，组织编制地质灾害防治规划和防护标准并指导实施;组织指导协调和监督地质灾害调查评价及隐患的普查、详查、排查;指导开展群测群防、专业监测和预报预警等工作，指导开展地质灾害工程治理工作；承担地质灾害应急救援的技术支撑工作。 </w:t>
      </w:r>
    </w:p>
    <w:p w14:paraId="332F573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（2）县应急管理局负责组织编制县级总体应急预案和安 全生产类、自然灾害类专项预案，综合协调应急预案衔接工作，组织开展预案演练。按照分级负责的原则，指导自然灾害类应急救援;组织协调较大灾害应急救援工作,并按权限作出决定;承担县应对重大灾害指挥部工作,协助县委、县政府指定的负责同志组织重大灾害应急处置工作。组织编制综合防灾减灾规划，指导协调相关部门开展森林和草原火灾、水旱灾害、地震和地质灾害等防治工作;会同县自然资源局、县水利局、县气象局、县林业局等有关部门建立统一的应急管理信息信息平台，建立监测预警和灾情报告制度，健全自然灾害信息资源获取和共享机制，依法统一发布灾情。开展多灾种和灾害链综合监测预警，指导开展自然灾害综合风险评估。指导森林和草原火情监测预警工作，发布森林和草原火灾信息。</w:t>
      </w:r>
    </w:p>
    <w:p w14:paraId="1216A57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主要业务：国土空间规划及测绘管理</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自然资源调查监测评价</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自然资源统一确权登记</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自然资源资产核算</w:t>
      </w:r>
      <w:r>
        <w:rPr>
          <w:rFonts w:hint="eastAsia" w:ascii="仿宋" w:hAnsi="仿宋" w:eastAsia="仿宋"/>
          <w:bCs/>
          <w:kern w:val="0"/>
          <w:sz w:val="32"/>
          <w:szCs w:val="32"/>
          <w:lang w:eastAsia="zh-CN"/>
        </w:rPr>
        <w:t>、</w:t>
      </w:r>
      <w:r>
        <w:rPr>
          <w:rFonts w:hint="eastAsia" w:ascii="仿宋" w:hAnsi="仿宋" w:eastAsia="仿宋"/>
          <w:bCs/>
          <w:kern w:val="0"/>
          <w:sz w:val="32"/>
          <w:szCs w:val="32"/>
        </w:rPr>
        <w:t>自然资源的合理开发利用</w:t>
      </w:r>
      <w:r>
        <w:rPr>
          <w:rFonts w:hint="eastAsia" w:ascii="仿宋" w:hAnsi="仿宋" w:eastAsia="仿宋"/>
          <w:bCs/>
          <w:kern w:val="0"/>
          <w:sz w:val="32"/>
          <w:szCs w:val="32"/>
          <w:lang w:eastAsia="zh-CN"/>
        </w:rPr>
        <w:t>、</w:t>
      </w:r>
      <w:r>
        <w:rPr>
          <w:rFonts w:hint="eastAsia" w:ascii="仿宋" w:hAnsi="仿宋" w:eastAsia="仿宋"/>
          <w:bCs/>
          <w:kern w:val="0"/>
          <w:sz w:val="32"/>
          <w:szCs w:val="32"/>
        </w:rPr>
        <w:t>国土空间生态修复</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耕地保护、地质勘察、地灾防治。</w:t>
      </w:r>
    </w:p>
    <w:p w14:paraId="21DFF376">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6ABC665">
      <w:pPr>
        <w:pStyle w:val="12"/>
        <w:ind w:firstLine="627" w:firstLineChars="196"/>
        <w:rPr>
          <w:rFonts w:hint="eastAsia" w:asciiTheme="minorEastAsia" w:hAnsiTheme="minorEastAsia"/>
          <w:sz w:val="32"/>
          <w:szCs w:val="32"/>
          <w:lang w:eastAsia="zh-CN"/>
        </w:rPr>
      </w:pPr>
      <w:r>
        <w:rPr>
          <w:rFonts w:hint="eastAsia" w:ascii="仿宋" w:hAnsi="仿宋" w:eastAsia="仿宋"/>
          <w:kern w:val="0"/>
          <w:szCs w:val="32"/>
        </w:rPr>
        <w:t>机构设置包括：</w:t>
      </w:r>
      <w:r>
        <w:rPr>
          <w:rFonts w:hint="eastAsia" w:asciiTheme="minorEastAsia" w:hAnsiTheme="minorEastAsia"/>
          <w:sz w:val="32"/>
          <w:szCs w:val="32"/>
        </w:rPr>
        <w:t>本部门内设机构（二级单位）3个，分别为永吉县国有土地收购储备中心、永吉县不动产登记中心和永吉县</w:t>
      </w:r>
      <w:r>
        <w:rPr>
          <w:rFonts w:hint="eastAsia" w:asciiTheme="minorEastAsia" w:hAnsiTheme="minorEastAsia"/>
          <w:sz w:val="32"/>
          <w:szCs w:val="32"/>
          <w:lang w:val="en-US" w:eastAsia="zh-CN"/>
        </w:rPr>
        <w:t>国土</w:t>
      </w:r>
      <w:r>
        <w:rPr>
          <w:rFonts w:hint="eastAsia" w:asciiTheme="minorEastAsia" w:hAnsiTheme="minorEastAsia"/>
          <w:sz w:val="32"/>
          <w:szCs w:val="32"/>
        </w:rPr>
        <w:t>空间</w:t>
      </w:r>
      <w:r>
        <w:rPr>
          <w:rFonts w:hint="eastAsia" w:asciiTheme="minorEastAsia" w:hAnsiTheme="minorEastAsia"/>
          <w:sz w:val="32"/>
          <w:szCs w:val="32"/>
          <w:lang w:val="en-US" w:eastAsia="zh-CN"/>
        </w:rPr>
        <w:t>利用服务</w:t>
      </w:r>
      <w:r>
        <w:rPr>
          <w:rFonts w:hint="eastAsia" w:asciiTheme="minorEastAsia" w:hAnsiTheme="minorEastAsia"/>
          <w:sz w:val="32"/>
          <w:szCs w:val="32"/>
        </w:rPr>
        <w:t>中心</w:t>
      </w:r>
      <w:r>
        <w:rPr>
          <w:rFonts w:hint="eastAsia" w:asciiTheme="minorEastAsia" w:hAnsiTheme="minorEastAsia"/>
          <w:sz w:val="32"/>
          <w:szCs w:val="32"/>
          <w:lang w:eastAsia="zh-CN"/>
        </w:rPr>
        <w:t>。</w:t>
      </w:r>
    </w:p>
    <w:p w14:paraId="3B979673">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val="en-US" w:eastAsia="zh-CN"/>
        </w:rPr>
        <w:t>局机关</w:t>
      </w:r>
      <w:r>
        <w:rPr>
          <w:rFonts w:hint="eastAsia" w:ascii="仿宋" w:hAnsi="仿宋" w:eastAsia="仿宋"/>
          <w:kern w:val="0"/>
          <w:szCs w:val="32"/>
        </w:rPr>
        <w:t>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08C38348">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157.51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245.2</w:t>
      </w:r>
      <w:r>
        <w:rPr>
          <w:rFonts w:hint="eastAsia" w:ascii="仿宋" w:hAnsi="仿宋" w:eastAsia="仿宋"/>
          <w:sz w:val="32"/>
          <w:szCs w:val="32"/>
        </w:rPr>
        <w:t>万元减</w:t>
      </w:r>
      <w:r>
        <w:rPr>
          <w:rFonts w:hint="eastAsia" w:ascii="仿宋" w:hAnsi="仿宋" w:eastAsia="仿宋"/>
          <w:sz w:val="32"/>
          <w:szCs w:val="32"/>
          <w:lang w:val="en-US"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87.69</w:t>
      </w:r>
      <w:r>
        <w:rPr>
          <w:rFonts w:hint="eastAsia" w:ascii="仿宋" w:hAnsi="仿宋" w:eastAsia="仿宋"/>
          <w:sz w:val="32"/>
          <w:szCs w:val="32"/>
        </w:rPr>
        <w:t>万元，主要原因：</w:t>
      </w:r>
      <w:r>
        <w:rPr>
          <w:rFonts w:hint="eastAsia" w:ascii="仿宋" w:hAnsi="仿宋" w:eastAsia="仿宋"/>
          <w:sz w:val="32"/>
          <w:szCs w:val="32"/>
          <w:lang w:val="en-US" w:eastAsia="zh-CN"/>
        </w:rPr>
        <w:t>执法大队改革，人员调走</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157.51</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157.51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157.51</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157.51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157.51</w:t>
      </w:r>
      <w:r>
        <w:rPr>
          <w:rFonts w:hint="eastAsia" w:ascii="仿宋" w:hAnsi="仿宋" w:eastAsia="仿宋"/>
          <w:sz w:val="32"/>
          <w:szCs w:val="32"/>
        </w:rPr>
        <w:t>万元，其中：本年收入</w:t>
      </w:r>
      <w:r>
        <w:rPr>
          <w:rFonts w:hint="eastAsia" w:ascii="仿宋" w:hAnsi="仿宋" w:eastAsia="仿宋"/>
          <w:sz w:val="32"/>
          <w:szCs w:val="32"/>
          <w:lang w:val="en-US" w:eastAsia="zh-CN"/>
        </w:rPr>
        <w:t>157.51</w:t>
      </w:r>
      <w:r>
        <w:rPr>
          <w:rFonts w:hint="eastAsia" w:ascii="仿宋" w:hAnsi="仿宋" w:eastAsia="仿宋"/>
          <w:sz w:val="32"/>
          <w:szCs w:val="32"/>
        </w:rPr>
        <w:t>万元。本年支出</w:t>
      </w:r>
      <w:r>
        <w:rPr>
          <w:rFonts w:hint="eastAsia" w:ascii="仿宋" w:hAnsi="仿宋" w:eastAsia="仿宋"/>
          <w:sz w:val="32"/>
          <w:szCs w:val="32"/>
          <w:lang w:val="en-US" w:eastAsia="zh-CN"/>
        </w:rPr>
        <w:t>157.51</w:t>
      </w:r>
      <w:r>
        <w:rPr>
          <w:rFonts w:hint="eastAsia" w:ascii="仿宋" w:hAnsi="仿宋" w:eastAsia="仿宋"/>
          <w:sz w:val="32"/>
          <w:szCs w:val="32"/>
        </w:rPr>
        <w:t>万元，支出包括：</w:t>
      </w:r>
      <w:r>
        <w:rPr>
          <w:rFonts w:hint="eastAsia" w:ascii="仿宋" w:hAnsi="仿宋" w:eastAsia="仿宋"/>
          <w:sz w:val="32"/>
          <w:szCs w:val="32"/>
          <w:lang w:val="en-US" w:eastAsia="zh-CN"/>
        </w:rPr>
        <w:t>自然资源海洋气象</w:t>
      </w:r>
      <w:r>
        <w:rPr>
          <w:rFonts w:hint="eastAsia" w:ascii="仿宋" w:hAnsi="仿宋" w:eastAsia="仿宋"/>
          <w:sz w:val="32"/>
          <w:szCs w:val="32"/>
        </w:rPr>
        <w:t>支出</w:t>
      </w:r>
      <w:r>
        <w:rPr>
          <w:rFonts w:hint="eastAsia" w:ascii="仿宋" w:hAnsi="仿宋" w:eastAsia="仿宋"/>
          <w:sz w:val="32"/>
          <w:szCs w:val="32"/>
          <w:lang w:val="en-US" w:eastAsia="zh-CN"/>
        </w:rPr>
        <w:t>133.31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13.42</w:t>
      </w:r>
      <w:r>
        <w:rPr>
          <w:rFonts w:hint="eastAsia" w:ascii="仿宋" w:hAnsi="仿宋" w:eastAsia="仿宋"/>
          <w:sz w:val="32"/>
          <w:szCs w:val="32"/>
        </w:rPr>
        <w:t>万元，住房保障支出</w:t>
      </w:r>
      <w:r>
        <w:rPr>
          <w:rFonts w:hint="eastAsia" w:ascii="仿宋" w:hAnsi="仿宋" w:eastAsia="仿宋"/>
          <w:sz w:val="32"/>
          <w:szCs w:val="32"/>
          <w:lang w:val="en-US" w:eastAsia="zh-CN"/>
        </w:rPr>
        <w:t>10.78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157.51</w:t>
      </w:r>
      <w:r>
        <w:rPr>
          <w:rFonts w:hint="eastAsia" w:ascii="仿宋" w:hAnsi="仿宋" w:eastAsia="仿宋"/>
          <w:sz w:val="32"/>
          <w:szCs w:val="32"/>
        </w:rPr>
        <w:t>万元，其中：基本支出</w:t>
      </w:r>
      <w:r>
        <w:rPr>
          <w:rFonts w:hint="eastAsia" w:ascii="仿宋" w:hAnsi="仿宋" w:eastAsia="仿宋"/>
          <w:sz w:val="32"/>
          <w:szCs w:val="32"/>
          <w:lang w:val="en-US" w:eastAsia="zh-CN"/>
        </w:rPr>
        <w:t>157.51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%；项目支出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%。基本支出中，人员经费</w:t>
      </w:r>
      <w:r>
        <w:rPr>
          <w:rFonts w:hint="eastAsia" w:ascii="仿宋" w:hAnsi="仿宋" w:eastAsia="仿宋"/>
          <w:sz w:val="32"/>
          <w:szCs w:val="32"/>
          <w:lang w:val="en-US" w:eastAsia="zh-CN"/>
        </w:rPr>
        <w:t>126.61</w:t>
      </w:r>
      <w:r>
        <w:rPr>
          <w:rFonts w:hint="eastAsia" w:ascii="仿宋" w:hAnsi="仿宋" w:eastAsia="仿宋"/>
          <w:sz w:val="32"/>
          <w:szCs w:val="32"/>
        </w:rPr>
        <w:t>万元，占</w:t>
      </w:r>
      <w:r>
        <w:rPr>
          <w:rFonts w:hint="eastAsia" w:ascii="仿宋" w:hAnsi="仿宋" w:eastAsia="仿宋"/>
          <w:sz w:val="32"/>
          <w:szCs w:val="32"/>
          <w:lang w:val="en-US" w:eastAsia="zh-CN"/>
        </w:rPr>
        <w:t>80.38</w:t>
      </w:r>
      <w:r>
        <w:rPr>
          <w:rFonts w:hint="eastAsia" w:ascii="仿宋" w:hAnsi="仿宋" w:eastAsia="仿宋"/>
          <w:sz w:val="32"/>
          <w:szCs w:val="32"/>
        </w:rPr>
        <w:t>%；公用经费</w:t>
      </w:r>
      <w:r>
        <w:rPr>
          <w:rFonts w:hint="eastAsia" w:ascii="仿宋" w:hAnsi="仿宋" w:eastAsia="仿宋"/>
          <w:sz w:val="32"/>
          <w:szCs w:val="32"/>
          <w:lang w:val="en-US" w:eastAsia="zh-CN"/>
        </w:rPr>
        <w:t>30.9</w:t>
      </w:r>
      <w:r>
        <w:rPr>
          <w:rFonts w:hint="eastAsia" w:ascii="仿宋" w:hAnsi="仿宋" w:eastAsia="仿宋"/>
          <w:sz w:val="32"/>
          <w:szCs w:val="32"/>
        </w:rPr>
        <w:t>万元，占</w:t>
      </w:r>
      <w:r>
        <w:rPr>
          <w:rFonts w:hint="eastAsia" w:ascii="仿宋" w:hAnsi="仿宋" w:eastAsia="仿宋"/>
          <w:sz w:val="32"/>
          <w:szCs w:val="32"/>
          <w:lang w:val="en-US" w:eastAsia="zh-CN"/>
        </w:rPr>
        <w:t>19.62</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自然资源海洋气象</w:t>
      </w:r>
      <w:r>
        <w:rPr>
          <w:rFonts w:hint="eastAsia" w:ascii="仿宋" w:hAnsi="仿宋" w:eastAsia="仿宋"/>
          <w:sz w:val="32"/>
          <w:szCs w:val="32"/>
        </w:rPr>
        <w:t>（类）支出</w:t>
      </w:r>
      <w:r>
        <w:rPr>
          <w:rFonts w:hint="eastAsia" w:ascii="仿宋" w:hAnsi="仿宋" w:eastAsia="仿宋"/>
          <w:sz w:val="32"/>
          <w:szCs w:val="32"/>
          <w:lang w:val="en-US" w:eastAsia="zh-CN"/>
        </w:rPr>
        <w:t>133.31</w:t>
      </w:r>
      <w:r>
        <w:rPr>
          <w:rFonts w:hint="eastAsia" w:ascii="仿宋" w:hAnsi="仿宋" w:eastAsia="仿宋"/>
          <w:sz w:val="32"/>
          <w:szCs w:val="32"/>
        </w:rPr>
        <w:t>万元，占</w:t>
      </w:r>
      <w:r>
        <w:rPr>
          <w:rFonts w:hint="eastAsia" w:ascii="仿宋" w:hAnsi="仿宋" w:eastAsia="仿宋"/>
          <w:sz w:val="32"/>
          <w:szCs w:val="32"/>
          <w:lang w:val="en-US" w:eastAsia="zh-CN"/>
        </w:rPr>
        <w:t>84.64</w:t>
      </w:r>
      <w:r>
        <w:rPr>
          <w:rFonts w:hint="eastAsia" w:ascii="仿宋" w:hAnsi="仿宋" w:eastAsia="仿宋"/>
          <w:sz w:val="32"/>
          <w:szCs w:val="32"/>
        </w:rPr>
        <w:t>%，主要用于：</w:t>
      </w:r>
      <w:r>
        <w:rPr>
          <w:rFonts w:hint="eastAsia" w:ascii="仿宋" w:hAnsi="仿宋" w:eastAsia="仿宋"/>
          <w:sz w:val="32"/>
          <w:szCs w:val="32"/>
          <w:lang w:val="en-US" w:eastAsia="zh-CN"/>
        </w:rPr>
        <w:t>行政运行人员经费工资、日常运行公用经费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13.42</w:t>
      </w:r>
      <w:r>
        <w:rPr>
          <w:rFonts w:hint="eastAsia" w:ascii="仿宋" w:hAnsi="仿宋" w:eastAsia="仿宋"/>
          <w:sz w:val="32"/>
          <w:szCs w:val="32"/>
        </w:rPr>
        <w:t>万元，占</w:t>
      </w:r>
      <w:r>
        <w:rPr>
          <w:rFonts w:hint="eastAsia" w:ascii="仿宋" w:hAnsi="仿宋" w:eastAsia="仿宋"/>
          <w:sz w:val="32"/>
          <w:szCs w:val="32"/>
          <w:lang w:val="en-US" w:eastAsia="zh-CN"/>
        </w:rPr>
        <w:t>8.52</w:t>
      </w:r>
      <w:r>
        <w:rPr>
          <w:rFonts w:hint="eastAsia" w:ascii="仿宋" w:hAnsi="仿宋" w:eastAsia="仿宋"/>
          <w:sz w:val="32"/>
          <w:szCs w:val="32"/>
        </w:rPr>
        <w:t>%，主要用于：</w:t>
      </w:r>
      <w:r>
        <w:rPr>
          <w:rFonts w:hint="eastAsia" w:ascii="仿宋" w:hAnsi="仿宋" w:eastAsia="仿宋"/>
          <w:sz w:val="32"/>
          <w:szCs w:val="32"/>
          <w:lang w:val="en-US" w:eastAsia="zh-CN"/>
        </w:rPr>
        <w:t>职工养老保险缴纳</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10.78</w:t>
      </w:r>
      <w:r>
        <w:rPr>
          <w:rFonts w:hint="eastAsia" w:ascii="仿宋" w:hAnsi="仿宋" w:eastAsia="仿宋"/>
          <w:sz w:val="32"/>
          <w:szCs w:val="32"/>
        </w:rPr>
        <w:t>万元，占</w:t>
      </w:r>
      <w:r>
        <w:rPr>
          <w:rFonts w:hint="eastAsia" w:ascii="仿宋" w:hAnsi="仿宋" w:eastAsia="仿宋"/>
          <w:sz w:val="32"/>
          <w:szCs w:val="32"/>
          <w:lang w:val="en-US" w:eastAsia="zh-CN"/>
        </w:rPr>
        <w:t>6.84</w:t>
      </w:r>
      <w:r>
        <w:rPr>
          <w:rFonts w:hint="eastAsia" w:ascii="仿宋" w:hAnsi="仿宋" w:eastAsia="仿宋"/>
          <w:sz w:val="32"/>
          <w:szCs w:val="32"/>
        </w:rPr>
        <w:t>%，主要用于：</w:t>
      </w:r>
      <w:r>
        <w:rPr>
          <w:rFonts w:hint="eastAsia" w:ascii="仿宋" w:hAnsi="仿宋" w:eastAsia="仿宋"/>
          <w:sz w:val="32"/>
          <w:szCs w:val="32"/>
          <w:lang w:val="en-US" w:eastAsia="zh-CN"/>
        </w:rPr>
        <w:t>职工住房公积金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157.51</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126.61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30.9</w:t>
      </w:r>
      <w:r>
        <w:rPr>
          <w:rFonts w:hint="eastAsia" w:ascii="仿宋" w:hAnsi="仿宋" w:eastAsia="仿宋"/>
          <w:sz w:val="32"/>
          <w:szCs w:val="32"/>
        </w:rPr>
        <w:t>万元，主要包括：办公费、印刷费、水费、电费、邮电费、取暖费、差旅费、公务接待费、工会经费、公务用车运行维护费等。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12.95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w:t>
      </w:r>
      <w:r>
        <w:rPr>
          <w:rFonts w:hint="eastAsia" w:ascii="仿宋" w:hAnsi="仿宋" w:eastAsia="仿宋"/>
          <w:kern w:val="0"/>
          <w:sz w:val="32"/>
          <w:szCs w:val="32"/>
          <w:lang w:val="en-US" w:eastAsia="zh-CN"/>
        </w:rPr>
        <w:t>持平</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0.45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 xml:space="preserve"> 202</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年预算数相同。</w:t>
      </w:r>
    </w:p>
    <w:p w14:paraId="7288DF6E">
      <w:pPr>
        <w:pStyle w:val="9"/>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12.5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12.5</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2"/>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30.9</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减少9.71</w:t>
      </w:r>
      <w:r>
        <w:rPr>
          <w:rFonts w:hint="eastAsia" w:ascii="仿宋" w:hAnsi="仿宋" w:eastAsia="仿宋"/>
          <w:sz w:val="32"/>
          <w:szCs w:val="32"/>
        </w:rPr>
        <w:t>万元，</w:t>
      </w:r>
      <w:r>
        <w:rPr>
          <w:rFonts w:hint="eastAsia" w:ascii="仿宋" w:hAnsi="仿宋" w:eastAsia="仿宋"/>
          <w:sz w:val="32"/>
          <w:szCs w:val="32"/>
          <w:lang w:val="en-US" w:eastAsia="zh-CN"/>
        </w:rPr>
        <w:t>下降23.91</w:t>
      </w:r>
      <w:r>
        <w:rPr>
          <w:rFonts w:hint="eastAsia" w:ascii="仿宋" w:hAnsi="仿宋" w:eastAsia="仿宋"/>
          <w:sz w:val="32"/>
          <w:szCs w:val="32"/>
        </w:rPr>
        <w:t>%，主要原因是</w:t>
      </w:r>
      <w:r>
        <w:rPr>
          <w:rFonts w:hint="eastAsia" w:ascii="仿宋" w:hAnsi="仿宋" w:eastAsia="仿宋"/>
          <w:sz w:val="32"/>
          <w:szCs w:val="32"/>
          <w:lang w:val="en-US" w:eastAsia="zh-CN"/>
        </w:rPr>
        <w:t>执法大队改革，人员调走</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6</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w:t>
      </w:r>
      <w:r>
        <w:rPr>
          <w:rFonts w:hint="eastAsia" w:ascii="仿宋" w:hAnsi="仿宋" w:eastAsia="仿宋"/>
          <w:sz w:val="32"/>
          <w:szCs w:val="32"/>
          <w:lang w:eastAsia="zh-CN"/>
        </w:rPr>
        <w:t>，</w:t>
      </w:r>
      <w:r>
        <w:rPr>
          <w:rFonts w:hint="eastAsia" w:ascii="仿宋" w:hAnsi="仿宋" w:eastAsia="仿宋"/>
          <w:sz w:val="32"/>
          <w:szCs w:val="32"/>
        </w:rPr>
        <w:t>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6</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3"/>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无</w:t>
      </w:r>
      <w:r>
        <w:rPr>
          <w:rFonts w:hint="eastAsia" w:ascii="仿宋" w:hAnsi="仿宋" w:eastAsia="仿宋"/>
          <w:sz w:val="32"/>
          <w:szCs w:val="32"/>
        </w:rPr>
        <w:t>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D37202"/>
    <w:rsid w:val="034968DF"/>
    <w:rsid w:val="035C2D40"/>
    <w:rsid w:val="03D7309C"/>
    <w:rsid w:val="03F014FB"/>
    <w:rsid w:val="03F248D4"/>
    <w:rsid w:val="05AE6735"/>
    <w:rsid w:val="07007AC3"/>
    <w:rsid w:val="073360BD"/>
    <w:rsid w:val="07C71E05"/>
    <w:rsid w:val="0A450E4E"/>
    <w:rsid w:val="0A7F599D"/>
    <w:rsid w:val="0B4115AF"/>
    <w:rsid w:val="0C633590"/>
    <w:rsid w:val="0C7C5D37"/>
    <w:rsid w:val="0C9109AB"/>
    <w:rsid w:val="0D0F40E1"/>
    <w:rsid w:val="0E0E4A27"/>
    <w:rsid w:val="0E235FAD"/>
    <w:rsid w:val="0E933B6E"/>
    <w:rsid w:val="0F4C4086"/>
    <w:rsid w:val="10D9450A"/>
    <w:rsid w:val="112B3A0C"/>
    <w:rsid w:val="113C79FA"/>
    <w:rsid w:val="117169F8"/>
    <w:rsid w:val="11DF6BD5"/>
    <w:rsid w:val="12C62CA4"/>
    <w:rsid w:val="142E0423"/>
    <w:rsid w:val="158A1F8C"/>
    <w:rsid w:val="15DA5399"/>
    <w:rsid w:val="187E3884"/>
    <w:rsid w:val="18F97B94"/>
    <w:rsid w:val="191A0446"/>
    <w:rsid w:val="1AE47F50"/>
    <w:rsid w:val="1B4A363A"/>
    <w:rsid w:val="1BC526EF"/>
    <w:rsid w:val="1C056A52"/>
    <w:rsid w:val="1C882350"/>
    <w:rsid w:val="1CDC1A5B"/>
    <w:rsid w:val="1CE149AE"/>
    <w:rsid w:val="1F451F7A"/>
    <w:rsid w:val="20EF71F1"/>
    <w:rsid w:val="21FE2E7E"/>
    <w:rsid w:val="2323212D"/>
    <w:rsid w:val="23FA4ECF"/>
    <w:rsid w:val="2527010D"/>
    <w:rsid w:val="26DC2BFA"/>
    <w:rsid w:val="27063D31"/>
    <w:rsid w:val="2758533C"/>
    <w:rsid w:val="27742DDB"/>
    <w:rsid w:val="27747EDE"/>
    <w:rsid w:val="277B13CF"/>
    <w:rsid w:val="285B5D80"/>
    <w:rsid w:val="28753BF0"/>
    <w:rsid w:val="28AA47B7"/>
    <w:rsid w:val="28CB641B"/>
    <w:rsid w:val="29207EE3"/>
    <w:rsid w:val="2AC832F5"/>
    <w:rsid w:val="2B010316"/>
    <w:rsid w:val="2B6933B2"/>
    <w:rsid w:val="2BDA4BD6"/>
    <w:rsid w:val="2D742D12"/>
    <w:rsid w:val="2E3342C6"/>
    <w:rsid w:val="2EC15BD9"/>
    <w:rsid w:val="33025B53"/>
    <w:rsid w:val="344D4C9B"/>
    <w:rsid w:val="36273D08"/>
    <w:rsid w:val="363F34AE"/>
    <w:rsid w:val="368F70D3"/>
    <w:rsid w:val="36DC4CF1"/>
    <w:rsid w:val="370276D6"/>
    <w:rsid w:val="37361A0B"/>
    <w:rsid w:val="38253B59"/>
    <w:rsid w:val="385B501F"/>
    <w:rsid w:val="38DE30B8"/>
    <w:rsid w:val="39284901"/>
    <w:rsid w:val="39AB5825"/>
    <w:rsid w:val="3A482539"/>
    <w:rsid w:val="3A915046"/>
    <w:rsid w:val="3C4C15D1"/>
    <w:rsid w:val="3CE440CF"/>
    <w:rsid w:val="3CEA5A8A"/>
    <w:rsid w:val="3D897F97"/>
    <w:rsid w:val="3DA7578C"/>
    <w:rsid w:val="3E1D6B18"/>
    <w:rsid w:val="3F597259"/>
    <w:rsid w:val="3F6B774D"/>
    <w:rsid w:val="40095632"/>
    <w:rsid w:val="430260DD"/>
    <w:rsid w:val="442476FC"/>
    <w:rsid w:val="45947D5B"/>
    <w:rsid w:val="45C6230C"/>
    <w:rsid w:val="46345885"/>
    <w:rsid w:val="46B15537"/>
    <w:rsid w:val="46C17DAD"/>
    <w:rsid w:val="46F64D5D"/>
    <w:rsid w:val="48BF0174"/>
    <w:rsid w:val="48F9795A"/>
    <w:rsid w:val="49B81F53"/>
    <w:rsid w:val="4AAC7860"/>
    <w:rsid w:val="4B315822"/>
    <w:rsid w:val="4CDB40F9"/>
    <w:rsid w:val="4D0265B8"/>
    <w:rsid w:val="4D8021B9"/>
    <w:rsid w:val="4DD35CE5"/>
    <w:rsid w:val="4DFF6777"/>
    <w:rsid w:val="4EB752BA"/>
    <w:rsid w:val="4ED6365B"/>
    <w:rsid w:val="4F735000"/>
    <w:rsid w:val="4FED0971"/>
    <w:rsid w:val="50041643"/>
    <w:rsid w:val="50F75E7E"/>
    <w:rsid w:val="51436F0F"/>
    <w:rsid w:val="51905BB3"/>
    <w:rsid w:val="51BB428B"/>
    <w:rsid w:val="52DF1D28"/>
    <w:rsid w:val="53A4083B"/>
    <w:rsid w:val="54923E8D"/>
    <w:rsid w:val="54941844"/>
    <w:rsid w:val="5538455E"/>
    <w:rsid w:val="55F73F79"/>
    <w:rsid w:val="566F21D7"/>
    <w:rsid w:val="567F658B"/>
    <w:rsid w:val="56A94595"/>
    <w:rsid w:val="580A299B"/>
    <w:rsid w:val="59434919"/>
    <w:rsid w:val="5B5D76B7"/>
    <w:rsid w:val="5B8E44C5"/>
    <w:rsid w:val="5C982767"/>
    <w:rsid w:val="5CA644DC"/>
    <w:rsid w:val="5CD80EBE"/>
    <w:rsid w:val="5CFA751D"/>
    <w:rsid w:val="5D580A8A"/>
    <w:rsid w:val="5DB8541C"/>
    <w:rsid w:val="5E221344"/>
    <w:rsid w:val="5E32788E"/>
    <w:rsid w:val="5E6F1C38"/>
    <w:rsid w:val="5F8965C8"/>
    <w:rsid w:val="5FB128C2"/>
    <w:rsid w:val="60731B65"/>
    <w:rsid w:val="60D72763"/>
    <w:rsid w:val="61525EF8"/>
    <w:rsid w:val="615F5A3C"/>
    <w:rsid w:val="62B666A5"/>
    <w:rsid w:val="62E15FE9"/>
    <w:rsid w:val="65255B39"/>
    <w:rsid w:val="659C7B1A"/>
    <w:rsid w:val="65BF660F"/>
    <w:rsid w:val="65E847CC"/>
    <w:rsid w:val="66821211"/>
    <w:rsid w:val="67286561"/>
    <w:rsid w:val="691F508E"/>
    <w:rsid w:val="6A340295"/>
    <w:rsid w:val="6A5666B8"/>
    <w:rsid w:val="6C626D3D"/>
    <w:rsid w:val="6DF0400D"/>
    <w:rsid w:val="6E05597A"/>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C659D0"/>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44</Words>
  <Characters>50</Characters>
  <Lines>22</Lines>
  <Paragraphs>6</Paragraphs>
  <TotalTime>6</TotalTime>
  <ScaleCrop>false</ScaleCrop>
  <LinksUpToDate>false</LinksUpToDate>
  <CharactersWithSpaces>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DELL</cp:lastModifiedBy>
  <dcterms:modified xsi:type="dcterms:W3CDTF">2025-04-03T01:38:57Z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eyJoZGlkIjoiNDQ0NzgyMzMzZDFhMzkxNzg0MDNkMDQ2OGEzMjVjYzYifQ==</vt:lpwstr>
  </property>
</Properties>
</file>