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hint="default" w:ascii="黑体" w:hAnsi="黑体" w:eastAsia="黑体"/>
          <w:sz w:val="44"/>
          <w:szCs w:val="44"/>
          <w:lang w:val="en-US"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44C88D61">
      <w:pPr>
        <w:jc w:val="center"/>
        <w:rPr>
          <w:rFonts w:hint="eastAsia" w:ascii="黑体" w:hAnsi="黑体" w:eastAsia="黑体"/>
          <w:sz w:val="52"/>
          <w:szCs w:val="52"/>
          <w:lang w:eastAsia="zh-CN"/>
        </w:rPr>
      </w:pPr>
      <w:r>
        <w:rPr>
          <w:rFonts w:hint="eastAsia" w:ascii="黑体" w:hAnsi="黑体" w:eastAsia="黑体"/>
          <w:sz w:val="52"/>
          <w:szCs w:val="52"/>
          <w:lang w:eastAsia="zh-CN"/>
        </w:rPr>
        <w:t>永吉县国土空间利用服务中心</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eastAsia="zh-CN"/>
        </w:rPr>
        <w:t>永吉县国土空间利用服务中心</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AEC3AF9">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永吉县国土空间利用服务中心</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4238ED11">
      <w:pPr>
        <w:keepNext w:val="0"/>
        <w:keepLines w:val="0"/>
        <w:pageBreakBefore w:val="0"/>
        <w:widowControl w:val="0"/>
        <w:kinsoku/>
        <w:overflowPunct/>
        <w:topLinePunct w:val="0"/>
        <w:autoSpaceDE/>
        <w:autoSpaceDN/>
        <w:bidi w:val="0"/>
        <w:snapToGrid/>
        <w:spacing w:line="576" w:lineRule="exact"/>
        <w:ind w:firstLine="640" w:firstLineChars="200"/>
        <w:textAlignment w:val="auto"/>
        <w:rPr>
          <w:rFonts w:hint="eastAsia" w:ascii="仿宋" w:hAnsi="仿宋" w:eastAsia="仿宋"/>
          <w:bCs/>
          <w:kern w:val="0"/>
          <w:sz w:val="32"/>
          <w:szCs w:val="32"/>
        </w:rPr>
      </w:pPr>
      <w:r>
        <w:rPr>
          <w:rFonts w:hint="eastAsia" w:ascii="仿宋" w:hAnsi="仿宋" w:eastAsia="仿宋"/>
          <w:bCs/>
          <w:kern w:val="0"/>
          <w:sz w:val="32"/>
          <w:szCs w:val="32"/>
        </w:rPr>
        <w:t>主要职能：</w:t>
      </w:r>
    </w:p>
    <w:p w14:paraId="58B4A571">
      <w:pPr>
        <w:keepNext w:val="0"/>
        <w:keepLines w:val="0"/>
        <w:pageBreakBefore w:val="0"/>
        <w:widowControl w:val="0"/>
        <w:kinsoku/>
        <w:overflowPunct/>
        <w:topLinePunct w:val="0"/>
        <w:autoSpaceDE/>
        <w:autoSpaceDN/>
        <w:bidi w:val="0"/>
        <w:snapToGrid/>
        <w:spacing w:line="576" w:lineRule="exact"/>
        <w:ind w:firstLine="640" w:firstLineChars="200"/>
        <w:textAlignment w:val="auto"/>
        <w:rPr>
          <w:rFonts w:eastAsia="仿宋_GB2312"/>
          <w:color w:val="auto"/>
          <w:sz w:val="32"/>
          <w:szCs w:val="32"/>
        </w:rPr>
      </w:pPr>
      <w:r>
        <w:rPr>
          <w:rFonts w:hint="eastAsia" w:eastAsia="仿宋_GB2312"/>
          <w:color w:val="auto"/>
          <w:sz w:val="32"/>
          <w:szCs w:val="32"/>
          <w:lang w:eastAsia="zh-CN"/>
        </w:rPr>
        <w:t>（一）</w:t>
      </w:r>
      <w:r>
        <w:rPr>
          <w:rFonts w:hint="eastAsia" w:eastAsia="仿宋_GB2312"/>
          <w:color w:val="auto"/>
          <w:sz w:val="32"/>
          <w:szCs w:val="32"/>
        </w:rPr>
        <w:t>为国土空间开发利用工作提供服务保障。</w:t>
      </w:r>
    </w:p>
    <w:p w14:paraId="507387F4">
      <w:pPr>
        <w:keepNext w:val="0"/>
        <w:keepLines w:val="0"/>
        <w:pageBreakBefore w:val="0"/>
        <w:widowControl w:val="0"/>
        <w:kinsoku/>
        <w:overflowPunct/>
        <w:topLinePunct w:val="0"/>
        <w:autoSpaceDE/>
        <w:autoSpaceDN/>
        <w:bidi w:val="0"/>
        <w:snapToGrid/>
        <w:spacing w:line="576" w:lineRule="exact"/>
        <w:ind w:firstLine="640" w:firstLineChars="200"/>
        <w:textAlignment w:val="auto"/>
        <w:rPr>
          <w:rFonts w:hint="eastAsia" w:eastAsia="仿宋_GB2312"/>
          <w:color w:val="auto"/>
          <w:sz w:val="32"/>
          <w:szCs w:val="32"/>
        </w:rPr>
      </w:pPr>
      <w:r>
        <w:rPr>
          <w:rFonts w:hint="eastAsia" w:eastAsia="仿宋_GB2312"/>
          <w:color w:val="auto"/>
          <w:sz w:val="32"/>
          <w:szCs w:val="32"/>
          <w:lang w:eastAsia="zh-CN"/>
        </w:rPr>
        <w:t>（二）</w:t>
      </w:r>
      <w:r>
        <w:rPr>
          <w:rFonts w:hint="eastAsia" w:eastAsia="仿宋_GB2312"/>
          <w:color w:val="auto"/>
          <w:sz w:val="32"/>
          <w:szCs w:val="32"/>
        </w:rPr>
        <w:t>协助主管部门并参与本行政区内城乡规划的组织研究、编制、协调、审查和报批的服务工作。</w:t>
      </w:r>
    </w:p>
    <w:p w14:paraId="4EA762F4">
      <w:pPr>
        <w:keepNext w:val="0"/>
        <w:keepLines w:val="0"/>
        <w:pageBreakBefore w:val="0"/>
        <w:widowControl w:val="0"/>
        <w:kinsoku/>
        <w:overflowPunct/>
        <w:topLinePunct w:val="0"/>
        <w:autoSpaceDE/>
        <w:autoSpaceDN/>
        <w:bidi w:val="0"/>
        <w:snapToGrid/>
        <w:spacing w:line="576" w:lineRule="exact"/>
        <w:ind w:firstLine="645"/>
        <w:textAlignment w:val="auto"/>
        <w:rPr>
          <w:rFonts w:hint="eastAsia" w:eastAsia="仿宋_GB2312"/>
          <w:color w:val="auto"/>
          <w:sz w:val="32"/>
          <w:szCs w:val="32"/>
          <w:lang w:eastAsia="zh-CN"/>
        </w:rPr>
      </w:pPr>
      <w:r>
        <w:rPr>
          <w:rFonts w:hint="eastAsia" w:eastAsia="仿宋_GB2312"/>
          <w:color w:val="auto"/>
          <w:sz w:val="32"/>
          <w:szCs w:val="32"/>
        </w:rPr>
        <w:t>（三）协助主管部门并参与全县建设项目选址、可行性论证工作</w:t>
      </w:r>
      <w:r>
        <w:rPr>
          <w:rFonts w:hint="eastAsia" w:eastAsia="仿宋_GB2312"/>
          <w:color w:val="auto"/>
          <w:sz w:val="32"/>
          <w:szCs w:val="32"/>
          <w:lang w:eastAsia="zh-CN"/>
        </w:rPr>
        <w:t>。</w:t>
      </w:r>
    </w:p>
    <w:p w14:paraId="3F7AFAF4">
      <w:pPr>
        <w:keepNext w:val="0"/>
        <w:keepLines w:val="0"/>
        <w:pageBreakBefore w:val="0"/>
        <w:widowControl w:val="0"/>
        <w:kinsoku/>
        <w:overflowPunct/>
        <w:topLinePunct w:val="0"/>
        <w:autoSpaceDE/>
        <w:autoSpaceDN/>
        <w:bidi w:val="0"/>
        <w:snapToGrid/>
        <w:spacing w:line="576" w:lineRule="exact"/>
        <w:ind w:firstLine="640" w:firstLineChars="200"/>
        <w:textAlignment w:val="auto"/>
        <w:rPr>
          <w:rFonts w:hint="eastAsia" w:eastAsia="仿宋_GB2312"/>
          <w:color w:val="auto"/>
          <w:sz w:val="32"/>
          <w:szCs w:val="32"/>
          <w:lang w:eastAsia="zh-CN"/>
        </w:rPr>
      </w:pPr>
      <w:r>
        <w:rPr>
          <w:rFonts w:hint="eastAsia" w:eastAsia="仿宋_GB2312"/>
          <w:color w:val="auto"/>
          <w:sz w:val="32"/>
          <w:szCs w:val="32"/>
        </w:rPr>
        <w:t>（四）协助主管部门并参与全县建设工程设计方案审核的技术性工作</w:t>
      </w:r>
      <w:r>
        <w:rPr>
          <w:rFonts w:hint="eastAsia" w:eastAsia="仿宋_GB2312"/>
          <w:color w:val="auto"/>
          <w:sz w:val="32"/>
          <w:szCs w:val="32"/>
          <w:lang w:eastAsia="zh-CN"/>
        </w:rPr>
        <w:t>。</w:t>
      </w:r>
    </w:p>
    <w:p w14:paraId="2C16F518">
      <w:pPr>
        <w:keepNext w:val="0"/>
        <w:keepLines w:val="0"/>
        <w:pageBreakBefore w:val="0"/>
        <w:widowControl w:val="0"/>
        <w:kinsoku/>
        <w:overflowPunct/>
        <w:topLinePunct w:val="0"/>
        <w:autoSpaceDE/>
        <w:autoSpaceDN/>
        <w:bidi w:val="0"/>
        <w:snapToGrid/>
        <w:spacing w:line="576" w:lineRule="exact"/>
        <w:ind w:firstLine="645"/>
        <w:textAlignment w:val="auto"/>
        <w:rPr>
          <w:rFonts w:hint="eastAsia" w:eastAsia="仿宋_GB2312"/>
          <w:color w:val="auto"/>
          <w:sz w:val="32"/>
          <w:szCs w:val="32"/>
          <w:lang w:eastAsia="zh-CN"/>
        </w:rPr>
      </w:pPr>
      <w:r>
        <w:rPr>
          <w:rFonts w:hint="eastAsia" w:eastAsia="仿宋_GB2312"/>
          <w:color w:val="auto"/>
          <w:sz w:val="32"/>
          <w:szCs w:val="32"/>
        </w:rPr>
        <w:t>（五）协助主管部门对各类建设工程的实施和竣工验收审核提供服务性工作</w:t>
      </w:r>
      <w:r>
        <w:rPr>
          <w:rFonts w:hint="eastAsia" w:eastAsia="仿宋_GB2312"/>
          <w:color w:val="auto"/>
          <w:sz w:val="32"/>
          <w:szCs w:val="32"/>
          <w:lang w:eastAsia="zh-CN"/>
        </w:rPr>
        <w:t>。</w:t>
      </w:r>
    </w:p>
    <w:p w14:paraId="14AF8536">
      <w:pPr>
        <w:keepNext w:val="0"/>
        <w:keepLines w:val="0"/>
        <w:pageBreakBefore w:val="0"/>
        <w:widowControl w:val="0"/>
        <w:kinsoku/>
        <w:overflowPunct/>
        <w:topLinePunct w:val="0"/>
        <w:autoSpaceDE/>
        <w:autoSpaceDN/>
        <w:bidi w:val="0"/>
        <w:snapToGrid/>
        <w:spacing w:line="576" w:lineRule="exact"/>
        <w:ind w:firstLine="640" w:firstLineChars="200"/>
        <w:jc w:val="left"/>
        <w:textAlignment w:val="auto"/>
        <w:rPr>
          <w:rFonts w:hint="eastAsia" w:eastAsia="仿宋_GB2312"/>
          <w:color w:val="auto"/>
          <w:sz w:val="32"/>
          <w:szCs w:val="32"/>
        </w:rPr>
      </w:pPr>
      <w:r>
        <w:rPr>
          <w:rFonts w:hint="eastAsia" w:eastAsia="仿宋_GB2312"/>
          <w:color w:val="auto"/>
          <w:sz w:val="32"/>
          <w:szCs w:val="32"/>
        </w:rPr>
        <w:t>（六）协助主管部门并参与本行政区域内有关城乡规划方面行政复议的服务性工作。</w:t>
      </w:r>
    </w:p>
    <w:p w14:paraId="0707A8C7">
      <w:pPr>
        <w:keepNext w:val="0"/>
        <w:keepLines w:val="0"/>
        <w:pageBreakBefore w:val="0"/>
        <w:widowControl w:val="0"/>
        <w:kinsoku/>
        <w:overflowPunct/>
        <w:topLinePunct w:val="0"/>
        <w:autoSpaceDE/>
        <w:autoSpaceDN/>
        <w:bidi w:val="0"/>
        <w:snapToGrid/>
        <w:spacing w:line="576" w:lineRule="exact"/>
        <w:ind w:left="0" w:firstLine="640" w:firstLineChars="200"/>
        <w:jc w:val="left"/>
        <w:textAlignment w:val="auto"/>
        <w:rPr>
          <w:rFonts w:hint="eastAsia" w:eastAsia="仿宋_GB2312"/>
          <w:color w:val="auto"/>
          <w:sz w:val="32"/>
          <w:szCs w:val="32"/>
          <w:lang w:eastAsia="zh-CN"/>
        </w:rPr>
      </w:pPr>
      <w:r>
        <w:rPr>
          <w:rFonts w:hint="eastAsia" w:eastAsia="仿宋_GB2312"/>
          <w:color w:val="auto"/>
          <w:sz w:val="32"/>
          <w:szCs w:val="32"/>
          <w:lang w:eastAsia="zh-CN"/>
        </w:rPr>
        <w:t>（七）</w:t>
      </w:r>
      <w:r>
        <w:rPr>
          <w:rFonts w:hint="eastAsia" w:eastAsia="仿宋_GB2312"/>
          <w:color w:val="auto"/>
          <w:sz w:val="32"/>
          <w:szCs w:val="32"/>
        </w:rPr>
        <w:t>负责县域城乡规划信息系统建设、管理和维护工作</w:t>
      </w:r>
      <w:r>
        <w:rPr>
          <w:rFonts w:hint="eastAsia" w:eastAsia="仿宋_GB2312"/>
          <w:color w:val="auto"/>
          <w:sz w:val="32"/>
          <w:szCs w:val="32"/>
          <w:lang w:eastAsia="zh-CN"/>
        </w:rPr>
        <w:t>。</w:t>
      </w:r>
    </w:p>
    <w:p w14:paraId="6BA1AFF4">
      <w:pPr>
        <w:keepNext w:val="0"/>
        <w:keepLines w:val="0"/>
        <w:pageBreakBefore w:val="0"/>
        <w:widowControl w:val="0"/>
        <w:kinsoku/>
        <w:overflowPunct/>
        <w:topLinePunct w:val="0"/>
        <w:autoSpaceDE/>
        <w:autoSpaceDN/>
        <w:bidi w:val="0"/>
        <w:snapToGrid/>
        <w:spacing w:line="576" w:lineRule="exact"/>
        <w:ind w:firstLine="640" w:firstLineChars="200"/>
        <w:jc w:val="left"/>
        <w:textAlignment w:val="auto"/>
        <w:rPr>
          <w:rFonts w:hint="eastAsia" w:eastAsia="仿宋_GB2312"/>
          <w:color w:val="auto"/>
          <w:sz w:val="32"/>
          <w:szCs w:val="32"/>
        </w:rPr>
      </w:pPr>
      <w:r>
        <w:rPr>
          <w:rFonts w:hint="eastAsia" w:eastAsia="仿宋_GB2312"/>
          <w:color w:val="auto"/>
          <w:sz w:val="32"/>
          <w:szCs w:val="32"/>
        </w:rPr>
        <w:t>（八）完成主管部门交办的其他工作。</w:t>
      </w:r>
    </w:p>
    <w:p w14:paraId="43F0CEC5">
      <w:pPr>
        <w:pStyle w:val="10"/>
        <w:widowControl/>
        <w:spacing w:line="620" w:lineRule="exact"/>
        <w:ind w:firstLine="627" w:firstLineChars="196"/>
        <w:contextualSpacing/>
        <w:rPr>
          <w:rFonts w:hint="eastAsia" w:ascii="仿宋" w:hAnsi="仿宋" w:eastAsia="仿宋"/>
          <w:bCs/>
          <w:kern w:val="0"/>
          <w:sz w:val="32"/>
          <w:szCs w:val="32"/>
        </w:rPr>
      </w:pPr>
    </w:p>
    <w:p w14:paraId="6D2D2659">
      <w:pPr>
        <w:pStyle w:val="10"/>
        <w:widowControl/>
        <w:spacing w:line="620" w:lineRule="exact"/>
        <w:ind w:firstLine="627" w:firstLineChars="196"/>
        <w:contextualSpacing/>
        <w:rPr>
          <w:rFonts w:hint="eastAsia" w:ascii="仿宋" w:hAnsi="仿宋" w:eastAsia="仿宋"/>
          <w:bCs/>
          <w:kern w:val="0"/>
          <w:sz w:val="32"/>
          <w:szCs w:val="32"/>
        </w:rPr>
      </w:pPr>
    </w:p>
    <w:p w14:paraId="232501B0">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主要业务：</w:t>
      </w:r>
    </w:p>
    <w:p w14:paraId="629C567C">
      <w:pPr>
        <w:pStyle w:val="10"/>
        <w:widowControl/>
        <w:numPr>
          <w:ilvl w:val="0"/>
          <w:numId w:val="3"/>
        </w:numPr>
        <w:spacing w:line="620" w:lineRule="exact"/>
        <w:ind w:left="1260" w:leftChars="0" w:firstLine="0" w:firstLineChars="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建设项目用地预审与选址意见书核发</w:t>
      </w:r>
    </w:p>
    <w:p w14:paraId="7B88061C">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国有建设用地使用权划拨批准</w:t>
      </w:r>
    </w:p>
    <w:p w14:paraId="0D42D240">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国有建设用地使用权批准</w:t>
      </w:r>
    </w:p>
    <w:p w14:paraId="42E8F540">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国有建设用地使用权协议出让批准</w:t>
      </w:r>
    </w:p>
    <w:p w14:paraId="185FD2C8">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建设用地（含临时用地）规划许可证核发</w:t>
      </w:r>
    </w:p>
    <w:p w14:paraId="35D638AB">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建设用地核查核验</w:t>
      </w:r>
    </w:p>
    <w:p w14:paraId="3F10F48D">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建设项目定位验线标准</w:t>
      </w:r>
    </w:p>
    <w:p w14:paraId="4A0B6ABA">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建设工程规划核验</w:t>
      </w:r>
    </w:p>
    <w:p w14:paraId="068396EF">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乡村建设规划许可证核发</w:t>
      </w:r>
    </w:p>
    <w:p w14:paraId="123271FE">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临时占用城市道路审批</w:t>
      </w:r>
    </w:p>
    <w:p w14:paraId="51C3DAFB">
      <w:pPr>
        <w:pStyle w:val="10"/>
        <w:widowControl/>
        <w:spacing w:line="620" w:lineRule="exact"/>
        <w:ind w:firstLine="320" w:firstLineChars="100"/>
        <w:contextualSpacing/>
        <w:rPr>
          <w:rFonts w:ascii="仿宋" w:hAnsi="仿宋" w:eastAsia="仿宋"/>
          <w:sz w:val="32"/>
          <w:szCs w:val="32"/>
        </w:rPr>
      </w:pPr>
    </w:p>
    <w:p w14:paraId="351FA5DF">
      <w:pPr>
        <w:pStyle w:val="10"/>
        <w:widowControl/>
        <w:spacing w:line="620" w:lineRule="exact"/>
        <w:ind w:firstLine="627" w:firstLineChars="196"/>
        <w:contextualSpacing/>
        <w:rPr>
          <w:rFonts w:hint="eastAsia" w:ascii="仿宋" w:hAnsi="仿宋" w:eastAsia="仿宋"/>
          <w:kern w:val="0"/>
          <w:sz w:val="32"/>
          <w:szCs w:val="32"/>
        </w:rPr>
      </w:pP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本单位为永吉县自然资源局下属事业单位</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7</w:t>
      </w:r>
      <w:r>
        <w:rPr>
          <w:rFonts w:hint="eastAsia" w:ascii="仿宋" w:hAnsi="仿宋" w:eastAsia="仿宋"/>
          <w:kern w:val="0"/>
          <w:szCs w:val="32"/>
        </w:rPr>
        <w:t>人，编制数</w:t>
      </w:r>
      <w:r>
        <w:rPr>
          <w:rFonts w:hint="eastAsia" w:ascii="仿宋" w:hAnsi="仿宋" w:eastAsia="仿宋"/>
          <w:kern w:val="0"/>
          <w:szCs w:val="32"/>
          <w:lang w:val="en-US" w:eastAsia="zh-CN"/>
        </w:rPr>
        <w:t>9</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w:t>
      </w:r>
      <w:r>
        <w:rPr>
          <w:rFonts w:hint="eastAsia" w:ascii="仿宋" w:hAnsi="仿宋" w:eastAsia="仿宋"/>
          <w:sz w:val="32"/>
          <w:szCs w:val="32"/>
          <w:lang w:eastAsia="zh-CN"/>
        </w:rPr>
        <w:t>。</w:t>
      </w:r>
      <w:r>
        <w:rPr>
          <w:rFonts w:hint="eastAsia" w:ascii="仿宋" w:hAnsi="仿宋" w:eastAsia="仿宋"/>
          <w:sz w:val="32"/>
          <w:szCs w:val="32"/>
        </w:rPr>
        <w:t>支出包括：</w:t>
      </w:r>
      <w:r>
        <w:rPr>
          <w:rFonts w:hint="eastAsia" w:ascii="仿宋" w:hAnsi="仿宋" w:eastAsia="仿宋"/>
          <w:sz w:val="32"/>
          <w:szCs w:val="32"/>
          <w:lang w:eastAsia="zh-CN"/>
        </w:rPr>
        <w:t>自然资源海洋气象等</w:t>
      </w:r>
      <w:r>
        <w:rPr>
          <w:rFonts w:hint="eastAsia" w:ascii="仿宋" w:hAnsi="仿宋" w:eastAsia="仿宋"/>
          <w:sz w:val="32"/>
          <w:szCs w:val="32"/>
        </w:rPr>
        <w:t>支出、社会保障和就业支出、住房保障支出。202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79.89</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99.04</w:t>
      </w:r>
      <w:r>
        <w:rPr>
          <w:rFonts w:hint="eastAsia" w:ascii="仿宋" w:hAnsi="仿宋" w:eastAsia="仿宋"/>
          <w:sz w:val="32"/>
          <w:szCs w:val="32"/>
        </w:rPr>
        <w:t>万元减</w:t>
      </w:r>
      <w:r>
        <w:rPr>
          <w:rFonts w:hint="eastAsia" w:ascii="仿宋" w:hAnsi="仿宋" w:eastAsia="仿宋"/>
          <w:sz w:val="32"/>
          <w:szCs w:val="32"/>
          <w:lang w:eastAsia="zh-CN"/>
        </w:rPr>
        <w:t>少</w:t>
      </w:r>
      <w:r>
        <w:rPr>
          <w:rFonts w:hint="eastAsia" w:ascii="仿宋" w:hAnsi="仿宋" w:eastAsia="仿宋"/>
          <w:sz w:val="32"/>
          <w:szCs w:val="32"/>
          <w:lang w:val="en-US" w:eastAsia="zh-CN"/>
        </w:rPr>
        <w:t>19.15</w:t>
      </w:r>
      <w:r>
        <w:rPr>
          <w:rFonts w:hint="eastAsia" w:ascii="仿宋" w:hAnsi="仿宋" w:eastAsia="仿宋"/>
          <w:sz w:val="32"/>
          <w:szCs w:val="32"/>
        </w:rPr>
        <w:t>万元，主要原因：</w:t>
      </w:r>
      <w:r>
        <w:rPr>
          <w:rFonts w:hint="eastAsia" w:ascii="仿宋" w:hAnsi="仿宋" w:eastAsia="仿宋"/>
          <w:sz w:val="32"/>
          <w:szCs w:val="32"/>
          <w:lang w:eastAsia="zh-CN"/>
        </w:rPr>
        <w:t>在职转退休人员一名，调出省外人员一名，人员经费减少</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79.89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79.89</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79.89</w:t>
      </w:r>
      <w:r>
        <w:rPr>
          <w:rFonts w:hint="eastAsia" w:ascii="仿宋" w:hAnsi="仿宋" w:eastAsia="仿宋"/>
          <w:sz w:val="32"/>
          <w:szCs w:val="32"/>
        </w:rPr>
        <w:t>万元，其中：基本支出</w:t>
      </w:r>
      <w:r>
        <w:rPr>
          <w:rFonts w:hint="eastAsia" w:ascii="仿宋" w:hAnsi="仿宋" w:eastAsia="仿宋"/>
          <w:sz w:val="32"/>
          <w:szCs w:val="32"/>
          <w:lang w:val="en-US" w:eastAsia="zh-CN"/>
        </w:rPr>
        <w:t>79.89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79.89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79.89</w:t>
      </w:r>
      <w:r>
        <w:rPr>
          <w:rFonts w:hint="eastAsia" w:ascii="仿宋" w:hAnsi="仿宋" w:eastAsia="仿宋"/>
          <w:sz w:val="32"/>
          <w:szCs w:val="32"/>
        </w:rPr>
        <w:t>万元。本年支出</w:t>
      </w:r>
      <w:r>
        <w:rPr>
          <w:rFonts w:hint="eastAsia" w:ascii="仿宋" w:hAnsi="仿宋" w:eastAsia="仿宋"/>
          <w:sz w:val="32"/>
          <w:szCs w:val="32"/>
          <w:lang w:val="en-US" w:eastAsia="zh-CN"/>
        </w:rPr>
        <w:t>79.89</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8.31</w:t>
      </w:r>
      <w:r>
        <w:rPr>
          <w:rFonts w:hint="eastAsia" w:ascii="仿宋" w:hAnsi="仿宋" w:eastAsia="仿宋"/>
          <w:sz w:val="32"/>
          <w:szCs w:val="32"/>
        </w:rPr>
        <w:t>万元，</w:t>
      </w:r>
      <w:r>
        <w:rPr>
          <w:rFonts w:hint="eastAsia" w:ascii="仿宋" w:hAnsi="仿宋" w:eastAsia="仿宋"/>
          <w:sz w:val="32"/>
          <w:szCs w:val="32"/>
          <w:lang w:eastAsia="zh-CN"/>
        </w:rPr>
        <w:t>自然资源海洋气象等支出</w:t>
      </w:r>
      <w:r>
        <w:rPr>
          <w:rFonts w:hint="eastAsia" w:ascii="仿宋" w:hAnsi="仿宋" w:eastAsia="仿宋"/>
          <w:sz w:val="32"/>
          <w:szCs w:val="32"/>
          <w:lang w:val="en-US" w:eastAsia="zh-CN"/>
        </w:rPr>
        <w:t>65.22</w:t>
      </w:r>
      <w:r>
        <w:rPr>
          <w:rFonts w:hint="eastAsia" w:ascii="仿宋" w:hAnsi="仿宋" w:eastAsia="仿宋"/>
          <w:sz w:val="32"/>
          <w:szCs w:val="32"/>
        </w:rPr>
        <w:t>万元，住房保障支出</w:t>
      </w:r>
      <w:r>
        <w:rPr>
          <w:rFonts w:hint="eastAsia" w:ascii="仿宋" w:hAnsi="仿宋" w:eastAsia="仿宋"/>
          <w:sz w:val="32"/>
          <w:szCs w:val="32"/>
          <w:lang w:val="en-US" w:eastAsia="zh-CN"/>
        </w:rPr>
        <w:t>6.36</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79.89</w:t>
      </w:r>
      <w:r>
        <w:rPr>
          <w:rFonts w:hint="eastAsia" w:ascii="仿宋" w:hAnsi="仿宋" w:eastAsia="仿宋"/>
          <w:sz w:val="32"/>
          <w:szCs w:val="32"/>
        </w:rPr>
        <w:t>万元，其中：基本支出</w:t>
      </w:r>
      <w:r>
        <w:rPr>
          <w:rFonts w:hint="eastAsia" w:ascii="仿宋" w:hAnsi="仿宋" w:eastAsia="仿宋"/>
          <w:sz w:val="32"/>
          <w:szCs w:val="32"/>
          <w:lang w:val="en-US" w:eastAsia="zh-CN"/>
        </w:rPr>
        <w:t>79.89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72.16</w:t>
      </w:r>
      <w:r>
        <w:rPr>
          <w:rFonts w:hint="eastAsia" w:ascii="仿宋" w:hAnsi="仿宋" w:eastAsia="仿宋"/>
          <w:sz w:val="32"/>
          <w:szCs w:val="32"/>
        </w:rPr>
        <w:t>万元，占</w:t>
      </w:r>
      <w:r>
        <w:rPr>
          <w:rFonts w:hint="eastAsia" w:ascii="仿宋" w:hAnsi="仿宋" w:eastAsia="仿宋"/>
          <w:sz w:val="32"/>
          <w:szCs w:val="32"/>
          <w:lang w:val="en-US" w:eastAsia="zh-CN"/>
        </w:rPr>
        <w:t>90.32</w:t>
      </w:r>
      <w:r>
        <w:rPr>
          <w:rFonts w:hint="eastAsia" w:ascii="仿宋" w:hAnsi="仿宋" w:eastAsia="仿宋"/>
          <w:sz w:val="32"/>
          <w:szCs w:val="32"/>
        </w:rPr>
        <w:t>%；公用经费</w:t>
      </w:r>
      <w:r>
        <w:rPr>
          <w:rFonts w:hint="eastAsia" w:ascii="仿宋" w:hAnsi="仿宋" w:eastAsia="仿宋"/>
          <w:sz w:val="32"/>
          <w:szCs w:val="32"/>
          <w:lang w:val="en-US" w:eastAsia="zh-CN"/>
        </w:rPr>
        <w:t>7.73</w:t>
      </w:r>
      <w:r>
        <w:rPr>
          <w:rFonts w:hint="eastAsia" w:ascii="仿宋" w:hAnsi="仿宋" w:eastAsia="仿宋"/>
          <w:sz w:val="32"/>
          <w:szCs w:val="32"/>
        </w:rPr>
        <w:t>万元，占</w:t>
      </w:r>
      <w:r>
        <w:rPr>
          <w:rFonts w:hint="eastAsia" w:ascii="仿宋" w:hAnsi="仿宋" w:eastAsia="仿宋"/>
          <w:sz w:val="32"/>
          <w:szCs w:val="32"/>
          <w:lang w:val="en-US" w:eastAsia="zh-CN"/>
        </w:rPr>
        <w:t>9.68</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8.31</w:t>
      </w:r>
      <w:r>
        <w:rPr>
          <w:rFonts w:hint="eastAsia" w:ascii="仿宋" w:hAnsi="仿宋" w:eastAsia="仿宋"/>
          <w:sz w:val="32"/>
          <w:szCs w:val="32"/>
        </w:rPr>
        <w:t xml:space="preserve"> 万元，占</w:t>
      </w:r>
      <w:r>
        <w:rPr>
          <w:rFonts w:hint="eastAsia" w:ascii="仿宋" w:hAnsi="仿宋" w:eastAsia="仿宋"/>
          <w:sz w:val="32"/>
          <w:szCs w:val="32"/>
          <w:lang w:val="en-US" w:eastAsia="zh-CN"/>
        </w:rPr>
        <w:t>10.4</w:t>
      </w:r>
      <w:r>
        <w:rPr>
          <w:rFonts w:hint="eastAsia" w:ascii="仿宋" w:hAnsi="仿宋" w:eastAsia="仿宋"/>
          <w:sz w:val="32"/>
          <w:szCs w:val="32"/>
        </w:rPr>
        <w:t>%，主要用于：</w:t>
      </w:r>
      <w:r>
        <w:rPr>
          <w:rFonts w:hint="eastAsia" w:ascii="仿宋" w:hAnsi="仿宋" w:eastAsia="仿宋"/>
          <w:sz w:val="32"/>
          <w:szCs w:val="32"/>
          <w:lang w:eastAsia="zh-CN"/>
        </w:rPr>
        <w:t>职工养老保险缴费支出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lang w:eastAsia="zh-CN"/>
        </w:rPr>
        <w:t>自然资源海洋气象等</w:t>
      </w:r>
      <w:r>
        <w:rPr>
          <w:rFonts w:hint="eastAsia" w:ascii="仿宋" w:hAnsi="仿宋" w:eastAsia="仿宋"/>
          <w:sz w:val="32"/>
          <w:szCs w:val="32"/>
        </w:rPr>
        <w:t xml:space="preserve">（类）支出 </w:t>
      </w:r>
      <w:r>
        <w:rPr>
          <w:rFonts w:hint="eastAsia" w:ascii="仿宋" w:hAnsi="仿宋" w:eastAsia="仿宋"/>
          <w:sz w:val="32"/>
          <w:szCs w:val="32"/>
          <w:lang w:val="en-US" w:eastAsia="zh-CN"/>
        </w:rPr>
        <w:t>65.22</w:t>
      </w:r>
      <w:r>
        <w:rPr>
          <w:rFonts w:hint="eastAsia" w:ascii="仿宋" w:hAnsi="仿宋" w:eastAsia="仿宋"/>
          <w:sz w:val="32"/>
          <w:szCs w:val="32"/>
        </w:rPr>
        <w:t xml:space="preserve"> 万元，占</w:t>
      </w:r>
      <w:r>
        <w:rPr>
          <w:rFonts w:hint="eastAsia" w:ascii="仿宋" w:hAnsi="仿宋" w:eastAsia="仿宋"/>
          <w:sz w:val="32"/>
          <w:szCs w:val="32"/>
          <w:lang w:val="en-US" w:eastAsia="zh-CN"/>
        </w:rPr>
        <w:t>81.64</w:t>
      </w:r>
      <w:r>
        <w:rPr>
          <w:rFonts w:hint="eastAsia" w:ascii="仿宋" w:hAnsi="仿宋" w:eastAsia="仿宋"/>
          <w:sz w:val="32"/>
          <w:szCs w:val="32"/>
        </w:rPr>
        <w:t>%，主要用于：</w:t>
      </w:r>
      <w:r>
        <w:rPr>
          <w:rFonts w:hint="eastAsia" w:ascii="仿宋" w:hAnsi="仿宋" w:eastAsia="仿宋"/>
          <w:sz w:val="32"/>
          <w:szCs w:val="32"/>
          <w:lang w:eastAsia="zh-CN"/>
        </w:rPr>
        <w:t>在职人员的基本工资、津贴补贴、绩效工资、医疗保险、其他社会保障以及办公经费等支出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6.36</w:t>
      </w:r>
      <w:r>
        <w:rPr>
          <w:rFonts w:hint="eastAsia" w:ascii="仿宋" w:hAnsi="仿宋" w:eastAsia="仿宋"/>
          <w:sz w:val="32"/>
          <w:szCs w:val="32"/>
        </w:rPr>
        <w:t>万元，占</w:t>
      </w:r>
      <w:r>
        <w:rPr>
          <w:rFonts w:hint="eastAsia" w:ascii="仿宋" w:hAnsi="仿宋" w:eastAsia="仿宋"/>
          <w:sz w:val="32"/>
          <w:szCs w:val="32"/>
          <w:lang w:val="en-US" w:eastAsia="zh-CN"/>
        </w:rPr>
        <w:t>7.96</w:t>
      </w:r>
      <w:r>
        <w:rPr>
          <w:rFonts w:hint="eastAsia" w:ascii="仿宋" w:hAnsi="仿宋" w:eastAsia="仿宋"/>
          <w:sz w:val="32"/>
          <w:szCs w:val="32"/>
        </w:rPr>
        <w:t>%，主要用于：</w:t>
      </w:r>
      <w:r>
        <w:rPr>
          <w:rFonts w:hint="eastAsia" w:ascii="仿宋" w:hAnsi="仿宋" w:eastAsia="仿宋"/>
          <w:sz w:val="32"/>
          <w:szCs w:val="32"/>
          <w:lang w:eastAsia="zh-CN"/>
        </w:rPr>
        <w:t>职工住房公积金缴费支出</w:t>
      </w:r>
      <w:r>
        <w:rPr>
          <w:rFonts w:hint="eastAsia" w:ascii="仿宋" w:hAnsi="仿宋" w:eastAsia="仿宋"/>
          <w:sz w:val="32"/>
          <w:szCs w:val="32"/>
        </w:rPr>
        <w:t>。</w:t>
      </w:r>
    </w:p>
    <w:p w14:paraId="55FEE9D0">
      <w:pPr>
        <w:ind w:firstLine="640" w:firstLineChars="200"/>
        <w:rPr>
          <w:rFonts w:ascii="仿宋" w:hAnsi="仿宋" w:eastAsia="仿宋"/>
          <w:sz w:val="32"/>
          <w:szCs w:val="32"/>
        </w:rPr>
      </w:pP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79.89</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72.16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7.73</w:t>
      </w:r>
      <w:r>
        <w:rPr>
          <w:rFonts w:hint="eastAsia" w:ascii="仿宋" w:hAnsi="仿宋" w:eastAsia="仿宋"/>
          <w:sz w:val="32"/>
          <w:szCs w:val="32"/>
        </w:rPr>
        <w:t>万元，主要包括：办公费、差旅费、</w:t>
      </w:r>
      <w:r>
        <w:rPr>
          <w:rFonts w:hint="eastAsia" w:ascii="仿宋" w:hAnsi="仿宋" w:eastAsia="仿宋"/>
          <w:sz w:val="32"/>
          <w:szCs w:val="32"/>
          <w:lang w:eastAsia="zh-CN"/>
        </w:rPr>
        <w:t>材料专用费、</w:t>
      </w:r>
      <w:r>
        <w:rPr>
          <w:rFonts w:hint="eastAsia" w:ascii="仿宋" w:hAnsi="仿宋" w:eastAsia="仿宋"/>
          <w:sz w:val="32"/>
          <w:szCs w:val="32"/>
        </w:rPr>
        <w:t>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1.99</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0.85</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7288DF6E">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1.99</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年预算数减少 </w:t>
      </w:r>
      <w:r>
        <w:rPr>
          <w:rFonts w:hint="eastAsia" w:ascii="仿宋" w:hAnsi="仿宋" w:eastAsia="仿宋"/>
          <w:kern w:val="0"/>
          <w:sz w:val="32"/>
          <w:szCs w:val="32"/>
          <w:lang w:val="en-US" w:eastAsia="zh-CN"/>
        </w:rPr>
        <w:t>0.85</w:t>
      </w:r>
      <w:r>
        <w:rPr>
          <w:rFonts w:hint="eastAsia" w:ascii="仿宋" w:hAnsi="仿宋" w:eastAsia="仿宋"/>
          <w:kern w:val="0"/>
          <w:sz w:val="32"/>
          <w:szCs w:val="32"/>
        </w:rPr>
        <w:t xml:space="preserve"> 万元。其中，公务用车运行维护费</w:t>
      </w:r>
      <w:r>
        <w:rPr>
          <w:rFonts w:hint="eastAsia" w:ascii="仿宋" w:hAnsi="仿宋" w:eastAsia="仿宋"/>
          <w:kern w:val="0"/>
          <w:sz w:val="32"/>
          <w:szCs w:val="32"/>
          <w:lang w:val="en-US" w:eastAsia="zh-CN"/>
        </w:rPr>
        <w:t>1.99</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0.85</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厉行节俭</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lang w:val="en-US" w:eastAsia="zh-CN"/>
        </w:rPr>
        <w:t>2024年预算数相同</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7DA9FFD8">
      <w:pPr>
        <w:pStyle w:val="8"/>
        <w:ind w:firstLine="640"/>
        <w:rPr>
          <w:rFonts w:hint="eastAsia" w:ascii="仿宋" w:hAnsi="仿宋" w:eastAsia="仿宋"/>
          <w:sz w:val="32"/>
          <w:szCs w:val="32"/>
          <w:lang w:eastAsia="zh-CN"/>
        </w:rPr>
      </w:pPr>
      <w:r>
        <w:rPr>
          <w:rFonts w:hint="eastAsia" w:ascii="仿宋" w:hAnsi="仿宋" w:eastAsia="仿宋"/>
          <w:sz w:val="32"/>
          <w:szCs w:val="32"/>
          <w:lang w:eastAsia="zh-CN"/>
        </w:rPr>
        <w:t>本单位不涉及机关运行经费。</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2D88EDD4"/>
    <w:multiLevelType w:val="singleLevel"/>
    <w:tmpl w:val="2D88EDD4"/>
    <w:lvl w:ilvl="0" w:tentative="0">
      <w:start w:val="1"/>
      <w:numFmt w:val="chineseCounting"/>
      <w:suff w:val="nothing"/>
      <w:lvlText w:val="（%1）"/>
      <w:lvlJc w:val="left"/>
      <w:pPr>
        <w:ind w:left="1260" w:leftChars="0" w:firstLine="0" w:firstLineChars="0"/>
      </w:pPr>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760AA6"/>
    <w:rsid w:val="05AE6735"/>
    <w:rsid w:val="05B719B1"/>
    <w:rsid w:val="06310D21"/>
    <w:rsid w:val="07C71E05"/>
    <w:rsid w:val="09FF453B"/>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689254B"/>
    <w:rsid w:val="187E3884"/>
    <w:rsid w:val="18F97B94"/>
    <w:rsid w:val="191A0446"/>
    <w:rsid w:val="1B4A363A"/>
    <w:rsid w:val="1BC526EF"/>
    <w:rsid w:val="1C882350"/>
    <w:rsid w:val="1CDC1A5B"/>
    <w:rsid w:val="1F451F7A"/>
    <w:rsid w:val="20EF71F1"/>
    <w:rsid w:val="21FE2E7E"/>
    <w:rsid w:val="2323212D"/>
    <w:rsid w:val="23FA4ECF"/>
    <w:rsid w:val="2527010D"/>
    <w:rsid w:val="26C07516"/>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7A15007"/>
    <w:rsid w:val="38253B59"/>
    <w:rsid w:val="385B501F"/>
    <w:rsid w:val="38DE30B8"/>
    <w:rsid w:val="39284901"/>
    <w:rsid w:val="39AB5825"/>
    <w:rsid w:val="3A482539"/>
    <w:rsid w:val="3A915046"/>
    <w:rsid w:val="3B6E70E8"/>
    <w:rsid w:val="3C4C15D1"/>
    <w:rsid w:val="3CE440CF"/>
    <w:rsid w:val="3CEA5A8A"/>
    <w:rsid w:val="3D0A4427"/>
    <w:rsid w:val="3D897F97"/>
    <w:rsid w:val="3DA7578C"/>
    <w:rsid w:val="3F597259"/>
    <w:rsid w:val="3F6B774D"/>
    <w:rsid w:val="40095632"/>
    <w:rsid w:val="430260DD"/>
    <w:rsid w:val="442476FC"/>
    <w:rsid w:val="44D055B1"/>
    <w:rsid w:val="46345885"/>
    <w:rsid w:val="46B15537"/>
    <w:rsid w:val="46C17DAD"/>
    <w:rsid w:val="46F64D5D"/>
    <w:rsid w:val="49B81F53"/>
    <w:rsid w:val="4AAC7860"/>
    <w:rsid w:val="4BFC12DA"/>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AB46AE"/>
    <w:rsid w:val="60D72763"/>
    <w:rsid w:val="61525EF8"/>
    <w:rsid w:val="615F5A3C"/>
    <w:rsid w:val="62B666A5"/>
    <w:rsid w:val="62E15FE9"/>
    <w:rsid w:val="65255B39"/>
    <w:rsid w:val="658630FD"/>
    <w:rsid w:val="659C7B1A"/>
    <w:rsid w:val="65E847CC"/>
    <w:rsid w:val="67286561"/>
    <w:rsid w:val="691105B6"/>
    <w:rsid w:val="691F508E"/>
    <w:rsid w:val="6A340295"/>
    <w:rsid w:val="6A5666B8"/>
    <w:rsid w:val="6C626D3D"/>
    <w:rsid w:val="6D4F2026"/>
    <w:rsid w:val="6DC8010A"/>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8BB74B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2505</Words>
  <Characters>2750</Characters>
  <Lines>22</Lines>
  <Paragraphs>6</Paragraphs>
  <TotalTime>0</TotalTime>
  <ScaleCrop>false</ScaleCrop>
  <LinksUpToDate>false</LinksUpToDate>
  <CharactersWithSpaces>2897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WPS_1211988219</cp:lastModifiedBy>
  <dcterms:modified xsi:type="dcterms:W3CDTF">2025-04-01T05:46:18Z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F2E52651940F4B16B88EE5BF5B3B0F96_13</vt:lpwstr>
  </property>
  <property fmtid="{D5CDD505-2E9C-101B-9397-08002B2CF9AE}" pid="4" name="KSOTemplateDocerSaveRecord">
    <vt:lpwstr>eyJoZGlkIjoiNTlmNWU0YTViMjRjNmI1YTJjYTU5NWNlNDVkNGY5ZmMiLCJ1c2VySWQiOiIxMjExOTg4MjE5In0=</vt:lpwstr>
  </property>
</Properties>
</file>